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C2FE5F">
      <w:pPr>
        <w:keepNext w:val="0"/>
        <w:keepLines w:val="0"/>
        <w:pageBreakBefore w:val="0"/>
        <w:kinsoku/>
        <w:wordWrap/>
        <w:overflowPunct/>
        <w:topLinePunct w:val="0"/>
        <w:bidi w:val="0"/>
        <w:spacing w:line="560" w:lineRule="exact"/>
        <w:jc w:val="center"/>
        <w:rPr>
          <w:rFonts w:hint="eastAsia" w:ascii="黑体" w:hAnsi="黑体" w:eastAsia="黑体" w:cs="黑体"/>
          <w:b/>
          <w:sz w:val="32"/>
          <w:szCs w:val="32"/>
        </w:rPr>
      </w:pPr>
      <w:bookmarkStart w:id="1" w:name="_GoBack"/>
      <w:bookmarkEnd w:id="1"/>
      <w:r>
        <w:rPr>
          <w:rFonts w:hint="eastAsia" w:ascii="黑体" w:hAnsi="黑体" w:eastAsia="黑体" w:cs="黑体"/>
          <w:b/>
          <w:sz w:val="32"/>
          <w:szCs w:val="32"/>
        </w:rPr>
        <w:t>812</w:t>
      </w:r>
      <w:r>
        <w:rPr>
          <w:rFonts w:hint="eastAsia" w:ascii="黑体" w:hAnsi="黑体" w:eastAsia="黑体" w:cs="黑体"/>
          <w:b/>
          <w:sz w:val="32"/>
          <w:szCs w:val="32"/>
          <w:lang w:eastAsia="zh-CN"/>
        </w:rPr>
        <w:t>《</w:t>
      </w:r>
      <w:r>
        <w:rPr>
          <w:rFonts w:hint="eastAsia" w:ascii="黑体" w:hAnsi="黑体" w:eastAsia="黑体" w:cs="黑体"/>
          <w:b/>
          <w:sz w:val="32"/>
          <w:szCs w:val="32"/>
        </w:rPr>
        <w:t>生物化学二</w:t>
      </w:r>
      <w:r>
        <w:rPr>
          <w:rFonts w:hint="eastAsia" w:ascii="黑体" w:hAnsi="黑体" w:eastAsia="黑体" w:cs="黑体"/>
          <w:b/>
          <w:sz w:val="32"/>
          <w:szCs w:val="32"/>
          <w:lang w:eastAsia="zh-CN"/>
        </w:rPr>
        <w:t>》</w:t>
      </w:r>
      <w:r>
        <w:rPr>
          <w:rFonts w:hint="eastAsia" w:ascii="黑体" w:hAnsi="黑体" w:eastAsia="黑体" w:cs="黑体"/>
          <w:b/>
          <w:sz w:val="32"/>
          <w:szCs w:val="32"/>
        </w:rPr>
        <w:t>2025年考试大纲</w:t>
      </w:r>
    </w:p>
    <w:p w14:paraId="60C4CBA1">
      <w:pPr>
        <w:keepNext w:val="0"/>
        <w:keepLines w:val="0"/>
        <w:pageBreakBefore w:val="0"/>
        <w:kinsoku/>
        <w:wordWrap/>
        <w:overflowPunct/>
        <w:topLinePunct w:val="0"/>
        <w:bidi w:val="0"/>
        <w:snapToGrid w:val="0"/>
        <w:spacing w:line="560" w:lineRule="exact"/>
        <w:jc w:val="both"/>
        <w:rPr>
          <w:rFonts w:hint="eastAsia" w:ascii="宋体" w:hAnsi="宋体" w:cs="宋体"/>
          <w:b/>
          <w:kern w:val="0"/>
          <w:sz w:val="28"/>
          <w:szCs w:val="28"/>
        </w:rPr>
      </w:pPr>
      <w:r>
        <w:rPr>
          <w:rFonts w:hint="eastAsia" w:ascii="宋体" w:hAnsi="宋体" w:cs="宋体"/>
          <w:b/>
          <w:kern w:val="0"/>
          <w:sz w:val="28"/>
          <w:szCs w:val="28"/>
        </w:rPr>
        <w:t>一、考试的基本要求</w:t>
      </w:r>
    </w:p>
    <w:p w14:paraId="40CD922E">
      <w:pPr>
        <w:keepNext w:val="0"/>
        <w:keepLines w:val="0"/>
        <w:pageBreakBefore w:val="0"/>
        <w:kinsoku/>
        <w:wordWrap/>
        <w:overflowPunct/>
        <w:topLinePunct w:val="0"/>
        <w:bidi w:val="0"/>
        <w:snapToGrid w:val="0"/>
        <w:spacing w:line="560" w:lineRule="exact"/>
        <w:ind w:firstLine="560" w:firstLineChars="200"/>
        <w:jc w:val="both"/>
        <w:rPr>
          <w:rFonts w:hint="eastAsia" w:ascii="宋体" w:hAnsi="宋体" w:cs="宋体"/>
          <w:color w:val="000000"/>
          <w:kern w:val="0"/>
          <w:sz w:val="28"/>
          <w:szCs w:val="28"/>
        </w:rPr>
      </w:pPr>
      <w:r>
        <w:rPr>
          <w:rFonts w:hint="eastAsia" w:ascii="宋体" w:hAnsi="宋体" w:cs="宋体"/>
          <w:color w:val="000000"/>
          <w:kern w:val="0"/>
          <w:sz w:val="28"/>
          <w:szCs w:val="28"/>
        </w:rPr>
        <w:t>《生物化学二》考试大纲适用于南京工业大学生工学科群相关专业的硕士研究生入学考试。生物化学是生物学的重要组成部分，是生物工程、生物学、化学工程与技术（生物化工）等学科的基础理论课程，主要内容：探讨生物体的物质组成以及分子结构、性质与功能，物质代谢的规律、能量转化及其调节控制等。要求考生系统地理解和掌握生物化学的基本概念和基本理论，掌握各类生化物质的结构、性质和功能及其合成代谢和分解代谢的基本途径及调控方法，理解基因表达调控和基因工程的基本理论，了解生物化学的最新进展，能综合运用所学的知识分析问题和解决问题。</w:t>
      </w:r>
    </w:p>
    <w:p w14:paraId="24D5690A">
      <w:pPr>
        <w:keepNext w:val="0"/>
        <w:keepLines w:val="0"/>
        <w:pageBreakBefore w:val="0"/>
        <w:kinsoku/>
        <w:wordWrap/>
        <w:overflowPunct/>
        <w:topLinePunct w:val="0"/>
        <w:bidi w:val="0"/>
        <w:snapToGrid w:val="0"/>
        <w:spacing w:line="560" w:lineRule="exact"/>
        <w:jc w:val="both"/>
        <w:rPr>
          <w:rFonts w:hint="eastAsia" w:ascii="宋体" w:hAnsi="宋体" w:cs="宋体"/>
          <w:b/>
          <w:color w:val="000000"/>
          <w:kern w:val="0"/>
          <w:sz w:val="28"/>
          <w:szCs w:val="28"/>
        </w:rPr>
      </w:pPr>
      <w:r>
        <w:rPr>
          <w:rFonts w:hint="eastAsia" w:ascii="宋体" w:hAnsi="宋体" w:cs="宋体"/>
          <w:b/>
          <w:color w:val="000000"/>
          <w:kern w:val="0"/>
          <w:sz w:val="28"/>
          <w:szCs w:val="28"/>
        </w:rPr>
        <w:t>二、考试方式和考试时间</w:t>
      </w:r>
    </w:p>
    <w:p w14:paraId="46209005">
      <w:pPr>
        <w:keepNext w:val="0"/>
        <w:keepLines w:val="0"/>
        <w:pageBreakBefore w:val="0"/>
        <w:kinsoku/>
        <w:wordWrap/>
        <w:overflowPunct/>
        <w:topLinePunct w:val="0"/>
        <w:bidi w:val="0"/>
        <w:snapToGrid w:val="0"/>
        <w:spacing w:line="560" w:lineRule="exact"/>
        <w:ind w:firstLine="700" w:firstLineChars="250"/>
        <w:jc w:val="both"/>
        <w:rPr>
          <w:rFonts w:hint="eastAsia" w:ascii="宋体" w:hAnsi="宋体" w:cs="宋体"/>
          <w:color w:val="000000"/>
          <w:kern w:val="0"/>
          <w:sz w:val="28"/>
          <w:szCs w:val="28"/>
        </w:rPr>
      </w:pPr>
      <w:r>
        <w:rPr>
          <w:rFonts w:hint="eastAsia" w:ascii="宋体" w:hAnsi="宋体" w:cs="宋体"/>
          <w:color w:val="000000"/>
          <w:kern w:val="0"/>
          <w:sz w:val="28"/>
          <w:szCs w:val="28"/>
        </w:rPr>
        <w:t>闭卷考试，总分150，考试时间为3小时。</w:t>
      </w:r>
    </w:p>
    <w:p w14:paraId="068A1E77">
      <w:pPr>
        <w:keepNext w:val="0"/>
        <w:keepLines w:val="0"/>
        <w:pageBreakBefore w:val="0"/>
        <w:kinsoku/>
        <w:wordWrap/>
        <w:overflowPunct/>
        <w:topLinePunct w:val="0"/>
        <w:bidi w:val="0"/>
        <w:snapToGrid w:val="0"/>
        <w:spacing w:line="560" w:lineRule="exact"/>
        <w:jc w:val="both"/>
        <w:rPr>
          <w:rFonts w:hint="eastAsia" w:ascii="宋体" w:hAnsi="宋体" w:cs="宋体"/>
          <w:color w:val="000000"/>
          <w:kern w:val="0"/>
          <w:sz w:val="28"/>
          <w:szCs w:val="28"/>
        </w:rPr>
      </w:pPr>
      <w:r>
        <w:rPr>
          <w:rFonts w:hint="eastAsia" w:ascii="宋体" w:hAnsi="宋体" w:cs="宋体"/>
          <w:b/>
          <w:bCs/>
          <w:color w:val="000000"/>
          <w:kern w:val="0"/>
          <w:sz w:val="28"/>
          <w:szCs w:val="28"/>
        </w:rPr>
        <w:t>三、参考书目（仅供参考）</w:t>
      </w:r>
    </w:p>
    <w:p w14:paraId="49D0B053">
      <w:pPr>
        <w:keepNext w:val="0"/>
        <w:keepLines w:val="0"/>
        <w:pageBreakBefore w:val="0"/>
        <w:kinsoku/>
        <w:wordWrap/>
        <w:overflowPunct/>
        <w:topLinePunct w:val="0"/>
        <w:bidi w:val="0"/>
        <w:snapToGrid w:val="0"/>
        <w:spacing w:line="560" w:lineRule="exact"/>
        <w:ind w:firstLine="560" w:firstLineChars="200"/>
        <w:jc w:val="both"/>
        <w:rPr>
          <w:rFonts w:hint="eastAsia" w:ascii="宋体" w:hAnsi="宋体" w:cs="宋体"/>
          <w:color w:val="000000"/>
          <w:kern w:val="0"/>
          <w:sz w:val="28"/>
          <w:szCs w:val="28"/>
        </w:rPr>
      </w:pPr>
      <w:r>
        <w:rPr>
          <w:rFonts w:hint="eastAsia" w:ascii="宋体" w:hAnsi="宋体" w:cs="宋体"/>
          <w:color w:val="000000"/>
          <w:kern w:val="0"/>
          <w:sz w:val="28"/>
          <w:szCs w:val="28"/>
        </w:rPr>
        <w:t>《生物化学原理》 第3版，杨荣武，高等教育出版社，2018</w:t>
      </w:r>
    </w:p>
    <w:p w14:paraId="2528212C">
      <w:pPr>
        <w:keepNext w:val="0"/>
        <w:keepLines w:val="0"/>
        <w:pageBreakBefore w:val="0"/>
        <w:kinsoku/>
        <w:wordWrap/>
        <w:overflowPunct/>
        <w:topLinePunct w:val="0"/>
        <w:bidi w:val="0"/>
        <w:snapToGrid w:val="0"/>
        <w:spacing w:line="560" w:lineRule="exact"/>
        <w:ind w:firstLine="560" w:firstLineChars="200"/>
        <w:jc w:val="both"/>
        <w:rPr>
          <w:rFonts w:hint="eastAsia" w:ascii="宋体" w:hAnsi="宋体" w:cs="宋体"/>
          <w:color w:val="000000"/>
          <w:kern w:val="0"/>
          <w:sz w:val="28"/>
          <w:szCs w:val="28"/>
        </w:rPr>
      </w:pPr>
      <w:r>
        <w:rPr>
          <w:rFonts w:hint="eastAsia" w:ascii="宋体" w:hAnsi="宋体" w:cs="宋体"/>
          <w:color w:val="000000"/>
          <w:kern w:val="0"/>
          <w:sz w:val="28"/>
          <w:szCs w:val="28"/>
        </w:rPr>
        <w:t>《现代分子生物学》第5版，朱玉贤，高等教育出版社，2019</w:t>
      </w:r>
    </w:p>
    <w:p w14:paraId="0EA90FD9">
      <w:pPr>
        <w:keepNext w:val="0"/>
        <w:keepLines w:val="0"/>
        <w:pageBreakBefore w:val="0"/>
        <w:kinsoku/>
        <w:wordWrap/>
        <w:overflowPunct/>
        <w:topLinePunct w:val="0"/>
        <w:bidi w:val="0"/>
        <w:snapToGrid w:val="0"/>
        <w:spacing w:line="560" w:lineRule="exact"/>
        <w:ind w:firstLine="560" w:firstLineChars="200"/>
        <w:jc w:val="both"/>
        <w:rPr>
          <w:rFonts w:hint="eastAsia" w:ascii="宋体" w:hAnsi="宋体" w:cs="宋体"/>
          <w:color w:val="000000"/>
          <w:kern w:val="0"/>
          <w:sz w:val="28"/>
          <w:szCs w:val="28"/>
        </w:rPr>
      </w:pPr>
      <w:r>
        <w:rPr>
          <w:rFonts w:hint="eastAsia" w:ascii="宋体" w:hAnsi="宋体" w:cs="宋体"/>
          <w:sz w:val="28"/>
          <w:szCs w:val="28"/>
        </w:rPr>
        <w:t>《生物化学实验多媒体教程》，谢宁昌，华东理工大学出版社，2006</w:t>
      </w:r>
    </w:p>
    <w:p w14:paraId="77CEC21F">
      <w:pPr>
        <w:keepNext w:val="0"/>
        <w:keepLines w:val="0"/>
        <w:pageBreakBefore w:val="0"/>
        <w:kinsoku/>
        <w:wordWrap/>
        <w:overflowPunct/>
        <w:topLinePunct w:val="0"/>
        <w:bidi w:val="0"/>
        <w:snapToGrid w:val="0"/>
        <w:spacing w:line="560" w:lineRule="exact"/>
        <w:jc w:val="both"/>
        <w:rPr>
          <w:rFonts w:hint="eastAsia" w:ascii="宋体" w:hAnsi="宋体" w:cs="宋体"/>
          <w:b/>
          <w:color w:val="000000"/>
          <w:kern w:val="0"/>
          <w:sz w:val="28"/>
          <w:szCs w:val="28"/>
        </w:rPr>
      </w:pPr>
      <w:r>
        <w:rPr>
          <w:rFonts w:hint="eastAsia" w:ascii="宋体" w:hAnsi="宋体" w:cs="宋体"/>
          <w:b/>
          <w:color w:val="000000"/>
          <w:kern w:val="0"/>
          <w:sz w:val="28"/>
          <w:szCs w:val="28"/>
        </w:rPr>
        <w:t>四、试题类型</w:t>
      </w:r>
    </w:p>
    <w:p w14:paraId="6043CCAF">
      <w:pPr>
        <w:keepNext w:val="0"/>
        <w:keepLines w:val="0"/>
        <w:pageBreakBefore w:val="0"/>
        <w:kinsoku/>
        <w:wordWrap/>
        <w:overflowPunct/>
        <w:topLinePunct w:val="0"/>
        <w:bidi w:val="0"/>
        <w:snapToGrid w:val="0"/>
        <w:spacing w:line="560" w:lineRule="exact"/>
        <w:ind w:firstLine="560" w:firstLineChars="200"/>
        <w:jc w:val="both"/>
        <w:rPr>
          <w:rFonts w:hint="eastAsia" w:ascii="宋体" w:hAnsi="宋体" w:cs="宋体"/>
          <w:color w:val="000000"/>
          <w:kern w:val="0"/>
          <w:sz w:val="28"/>
          <w:szCs w:val="28"/>
        </w:rPr>
      </w:pPr>
      <w:r>
        <w:rPr>
          <w:rFonts w:hint="eastAsia" w:ascii="宋体" w:hAnsi="宋体" w:cs="宋体"/>
          <w:color w:val="000000"/>
          <w:kern w:val="0"/>
          <w:sz w:val="28"/>
          <w:szCs w:val="28"/>
        </w:rPr>
        <w:t>主要包括填空题、选择题、判断题、名词解释与简答题、计算题、论述题等类型，并根据每年的考试要求做相应的调整。</w:t>
      </w:r>
    </w:p>
    <w:p w14:paraId="4FBE823A">
      <w:pPr>
        <w:pStyle w:val="9"/>
        <w:keepNext w:val="0"/>
        <w:keepLines w:val="0"/>
        <w:pageBreakBefore w:val="0"/>
        <w:kinsoku/>
        <w:wordWrap/>
        <w:overflowPunct/>
        <w:topLinePunct w:val="0"/>
        <w:bidi w:val="0"/>
        <w:snapToGrid w:val="0"/>
        <w:spacing w:before="0" w:beforeAutospacing="0" w:after="0" w:afterAutospacing="0" w:line="560" w:lineRule="exact"/>
        <w:jc w:val="both"/>
        <w:rPr>
          <w:rFonts w:hint="eastAsia"/>
          <w:color w:val="000000"/>
          <w:sz w:val="28"/>
          <w:szCs w:val="28"/>
        </w:rPr>
      </w:pPr>
      <w:r>
        <w:rPr>
          <w:rFonts w:hint="eastAsia"/>
          <w:b/>
          <w:bCs/>
          <w:color w:val="000000"/>
          <w:sz w:val="28"/>
          <w:szCs w:val="28"/>
        </w:rPr>
        <w:t>五、考试内容</w:t>
      </w:r>
      <w:bookmarkStart w:id="0" w:name="2"/>
      <w:bookmarkEnd w:id="0"/>
      <w:r>
        <w:rPr>
          <w:rFonts w:hint="eastAsia"/>
          <w:b/>
          <w:bCs/>
          <w:color w:val="000000"/>
          <w:sz w:val="28"/>
          <w:szCs w:val="28"/>
        </w:rPr>
        <w:t>及要求</w:t>
      </w:r>
      <w:r>
        <w:rPr>
          <w:rFonts w:hint="eastAsia"/>
          <w:color w:val="000000"/>
          <w:sz w:val="28"/>
          <w:szCs w:val="28"/>
        </w:rPr>
        <w:t>　</w:t>
      </w:r>
    </w:p>
    <w:p w14:paraId="1A5668EA">
      <w:pPr>
        <w:keepNext w:val="0"/>
        <w:keepLines w:val="0"/>
        <w:pageBreakBefore w:val="0"/>
        <w:kinsoku/>
        <w:wordWrap/>
        <w:overflowPunct/>
        <w:topLinePunct w:val="0"/>
        <w:bidi w:val="0"/>
        <w:snapToGrid w:val="0"/>
        <w:spacing w:line="560" w:lineRule="exact"/>
        <w:jc w:val="both"/>
        <w:rPr>
          <w:rFonts w:hint="eastAsia" w:ascii="宋体" w:hAnsi="宋体" w:cs="宋体"/>
          <w:bCs/>
          <w:color w:val="000000"/>
          <w:sz w:val="28"/>
          <w:szCs w:val="28"/>
        </w:rPr>
      </w:pPr>
      <w:r>
        <w:rPr>
          <w:rFonts w:hint="eastAsia" w:ascii="宋体" w:hAnsi="宋体" w:cs="宋体"/>
          <w:bCs/>
          <w:color w:val="000000"/>
          <w:sz w:val="28"/>
          <w:szCs w:val="28"/>
        </w:rPr>
        <w:t xml:space="preserve">1. 蛋白质化学 </w:t>
      </w:r>
    </w:p>
    <w:p w14:paraId="791AA94D">
      <w:pPr>
        <w:pStyle w:val="15"/>
        <w:keepNext w:val="0"/>
        <w:keepLines w:val="0"/>
        <w:pageBreakBefore w:val="0"/>
        <w:kinsoku/>
        <w:wordWrap/>
        <w:overflowPunct/>
        <w:topLinePunct w:val="0"/>
        <w:autoSpaceDE w:val="0"/>
        <w:autoSpaceDN w:val="0"/>
        <w:bidi w:val="0"/>
        <w:snapToGrid w:val="0"/>
        <w:spacing w:line="560" w:lineRule="exact"/>
        <w:ind w:right="-15" w:firstLine="560" w:firstLineChars="200"/>
        <w:jc w:val="both"/>
        <w:textAlignment w:val="bottom"/>
        <w:rPr>
          <w:rFonts w:hint="eastAsia" w:hAnsi="宋体" w:cs="宋体"/>
          <w:bCs/>
          <w:color w:val="000000"/>
          <w:sz w:val="28"/>
          <w:szCs w:val="28"/>
        </w:rPr>
      </w:pPr>
      <w:r>
        <w:rPr>
          <w:rFonts w:hint="eastAsia" w:hAnsi="宋体" w:cs="宋体"/>
          <w:bCs/>
          <w:color w:val="000000"/>
          <w:sz w:val="28"/>
          <w:szCs w:val="28"/>
        </w:rPr>
        <w:t>蛋白质的化学组成，22种氨基酸的简写符号；氨基酸的理化性质及化学反应；蛋白质分子的结构（一级、二级、高级结构的概念及形式）；蛋白质一级结构测定；蛋白质的理化性质及分离纯化和纯度鉴定的方法；蛋白质的变性作用；蛋白质结构与功能的关系</w:t>
      </w:r>
    </w:p>
    <w:p w14:paraId="0BB80752">
      <w:pPr>
        <w:keepNext w:val="0"/>
        <w:keepLines w:val="0"/>
        <w:pageBreakBefore w:val="0"/>
        <w:kinsoku/>
        <w:wordWrap/>
        <w:overflowPunct/>
        <w:topLinePunct w:val="0"/>
        <w:bidi w:val="0"/>
        <w:snapToGrid w:val="0"/>
        <w:spacing w:line="560" w:lineRule="exact"/>
        <w:jc w:val="both"/>
        <w:rPr>
          <w:rFonts w:hint="eastAsia" w:ascii="宋体" w:hAnsi="宋体" w:cs="宋体"/>
          <w:bCs/>
          <w:color w:val="000000"/>
          <w:sz w:val="28"/>
          <w:szCs w:val="28"/>
        </w:rPr>
      </w:pPr>
      <w:r>
        <w:rPr>
          <w:rFonts w:hint="eastAsia" w:ascii="宋体" w:hAnsi="宋体" w:cs="宋体"/>
          <w:bCs/>
          <w:color w:val="000000"/>
          <w:sz w:val="28"/>
          <w:szCs w:val="28"/>
        </w:rPr>
        <w:t xml:space="preserve">2. 核酸化学 </w:t>
      </w:r>
    </w:p>
    <w:p w14:paraId="46B374DE">
      <w:pPr>
        <w:pStyle w:val="15"/>
        <w:keepNext w:val="0"/>
        <w:keepLines w:val="0"/>
        <w:pageBreakBefore w:val="0"/>
        <w:kinsoku/>
        <w:wordWrap/>
        <w:overflowPunct/>
        <w:topLinePunct w:val="0"/>
        <w:autoSpaceDE w:val="0"/>
        <w:autoSpaceDN w:val="0"/>
        <w:bidi w:val="0"/>
        <w:snapToGrid w:val="0"/>
        <w:spacing w:line="560" w:lineRule="exact"/>
        <w:ind w:right="-15" w:firstLine="560" w:firstLineChars="200"/>
        <w:jc w:val="both"/>
        <w:textAlignment w:val="bottom"/>
        <w:rPr>
          <w:rFonts w:hint="eastAsia" w:hAnsi="宋体" w:cs="宋体"/>
          <w:bCs/>
          <w:color w:val="000000"/>
          <w:sz w:val="28"/>
          <w:szCs w:val="28"/>
        </w:rPr>
      </w:pPr>
      <w:r>
        <w:rPr>
          <w:rFonts w:hint="eastAsia" w:hAnsi="宋体" w:cs="宋体"/>
          <w:bCs/>
          <w:color w:val="000000"/>
          <w:sz w:val="28"/>
          <w:szCs w:val="28"/>
        </w:rPr>
        <w:t>核酸的基本化学组成及分类；核苷酸的结构；DNA和RNA一级结构、二级结构和DNA的三级结构；RNA的分类及各类RNA的生物学功能；核酸的主要理化特性；核酸的研究方法</w:t>
      </w:r>
    </w:p>
    <w:p w14:paraId="02AB4D64">
      <w:pPr>
        <w:pStyle w:val="15"/>
        <w:keepNext w:val="0"/>
        <w:keepLines w:val="0"/>
        <w:pageBreakBefore w:val="0"/>
        <w:kinsoku/>
        <w:wordWrap/>
        <w:overflowPunct/>
        <w:topLinePunct w:val="0"/>
        <w:autoSpaceDE w:val="0"/>
        <w:autoSpaceDN w:val="0"/>
        <w:bidi w:val="0"/>
        <w:snapToGrid w:val="0"/>
        <w:spacing w:line="560" w:lineRule="exact"/>
        <w:ind w:right="-15"/>
        <w:jc w:val="both"/>
        <w:textAlignment w:val="bottom"/>
        <w:rPr>
          <w:rFonts w:hint="eastAsia" w:hAnsi="宋体" w:cs="宋体"/>
          <w:bCs/>
          <w:color w:val="000000"/>
          <w:sz w:val="28"/>
          <w:szCs w:val="28"/>
        </w:rPr>
      </w:pPr>
      <w:r>
        <w:rPr>
          <w:rFonts w:hint="eastAsia" w:hAnsi="宋体" w:cs="宋体"/>
          <w:bCs/>
          <w:color w:val="000000"/>
          <w:sz w:val="28"/>
          <w:szCs w:val="28"/>
        </w:rPr>
        <w:t xml:space="preserve">3. 糖类结构与功能 </w:t>
      </w:r>
    </w:p>
    <w:p w14:paraId="78834F60">
      <w:pPr>
        <w:pStyle w:val="15"/>
        <w:keepNext w:val="0"/>
        <w:keepLines w:val="0"/>
        <w:pageBreakBefore w:val="0"/>
        <w:kinsoku/>
        <w:wordWrap/>
        <w:overflowPunct/>
        <w:topLinePunct w:val="0"/>
        <w:autoSpaceDE w:val="0"/>
        <w:autoSpaceDN w:val="0"/>
        <w:bidi w:val="0"/>
        <w:snapToGrid w:val="0"/>
        <w:spacing w:line="560" w:lineRule="exact"/>
        <w:ind w:right="-15" w:firstLine="560" w:firstLineChars="200"/>
        <w:jc w:val="both"/>
        <w:textAlignment w:val="bottom"/>
        <w:rPr>
          <w:rFonts w:hint="eastAsia" w:hAnsi="宋体" w:cs="宋体"/>
          <w:bCs/>
          <w:color w:val="000000"/>
          <w:sz w:val="28"/>
          <w:szCs w:val="28"/>
        </w:rPr>
      </w:pPr>
      <w:r>
        <w:rPr>
          <w:rFonts w:hint="eastAsia" w:hAnsi="宋体" w:cs="宋体"/>
          <w:bCs/>
          <w:color w:val="000000"/>
          <w:sz w:val="28"/>
          <w:szCs w:val="28"/>
        </w:rPr>
        <w:t>糖的主要分类及其各自的代表；淀粉、纤维素的结构和生物学功能；糖聚合物及它们的生物学功能；糖链和糖蛋白的生物活性</w:t>
      </w:r>
    </w:p>
    <w:p w14:paraId="1CFCC461">
      <w:pPr>
        <w:pStyle w:val="15"/>
        <w:keepNext w:val="0"/>
        <w:keepLines w:val="0"/>
        <w:pageBreakBefore w:val="0"/>
        <w:kinsoku/>
        <w:wordWrap/>
        <w:overflowPunct/>
        <w:topLinePunct w:val="0"/>
        <w:autoSpaceDE w:val="0"/>
        <w:autoSpaceDN w:val="0"/>
        <w:bidi w:val="0"/>
        <w:snapToGrid w:val="0"/>
        <w:spacing w:line="560" w:lineRule="exact"/>
        <w:ind w:right="-15"/>
        <w:jc w:val="both"/>
        <w:textAlignment w:val="bottom"/>
        <w:rPr>
          <w:rFonts w:hint="eastAsia" w:hAnsi="宋体" w:cs="宋体"/>
          <w:bCs/>
          <w:color w:val="000000"/>
          <w:sz w:val="28"/>
          <w:szCs w:val="28"/>
        </w:rPr>
      </w:pPr>
      <w:r>
        <w:rPr>
          <w:rFonts w:hint="eastAsia" w:hAnsi="宋体" w:cs="宋体"/>
          <w:bCs/>
          <w:color w:val="000000"/>
          <w:sz w:val="28"/>
          <w:szCs w:val="28"/>
        </w:rPr>
        <w:t xml:space="preserve">4. 脂质与生物膜 </w:t>
      </w:r>
    </w:p>
    <w:p w14:paraId="034020B4">
      <w:pPr>
        <w:pStyle w:val="15"/>
        <w:keepNext w:val="0"/>
        <w:keepLines w:val="0"/>
        <w:pageBreakBefore w:val="0"/>
        <w:kinsoku/>
        <w:wordWrap/>
        <w:overflowPunct/>
        <w:topLinePunct w:val="0"/>
        <w:autoSpaceDE w:val="0"/>
        <w:autoSpaceDN w:val="0"/>
        <w:bidi w:val="0"/>
        <w:snapToGrid w:val="0"/>
        <w:spacing w:line="560" w:lineRule="exact"/>
        <w:ind w:right="-15" w:firstLine="560" w:firstLineChars="200"/>
        <w:jc w:val="both"/>
        <w:textAlignment w:val="bottom"/>
        <w:rPr>
          <w:rFonts w:hint="eastAsia" w:hAnsi="宋体" w:cs="宋体"/>
          <w:bCs/>
          <w:color w:val="000000"/>
          <w:sz w:val="28"/>
          <w:szCs w:val="28"/>
        </w:rPr>
      </w:pPr>
      <w:r>
        <w:rPr>
          <w:rFonts w:hint="eastAsia" w:hAnsi="宋体" w:cs="宋体"/>
          <w:bCs/>
          <w:color w:val="000000"/>
          <w:sz w:val="28"/>
          <w:szCs w:val="28"/>
        </w:rPr>
        <w:t>生物体内脂质的分类；甘油脂、磷脂以及脂肪酸特性；生物膜的化学组成和结构，“流体镶嵌模型”的要点</w:t>
      </w:r>
    </w:p>
    <w:p w14:paraId="64AE4415">
      <w:pPr>
        <w:pStyle w:val="15"/>
        <w:keepNext w:val="0"/>
        <w:keepLines w:val="0"/>
        <w:pageBreakBefore w:val="0"/>
        <w:kinsoku/>
        <w:wordWrap/>
        <w:overflowPunct/>
        <w:topLinePunct w:val="0"/>
        <w:autoSpaceDE w:val="0"/>
        <w:autoSpaceDN w:val="0"/>
        <w:bidi w:val="0"/>
        <w:snapToGrid w:val="0"/>
        <w:spacing w:line="560" w:lineRule="exact"/>
        <w:ind w:right="-15"/>
        <w:jc w:val="both"/>
        <w:textAlignment w:val="bottom"/>
        <w:rPr>
          <w:rFonts w:hint="eastAsia" w:hAnsi="宋体" w:cs="宋体"/>
          <w:bCs/>
          <w:color w:val="000000"/>
          <w:sz w:val="28"/>
          <w:szCs w:val="28"/>
        </w:rPr>
      </w:pPr>
      <w:r>
        <w:rPr>
          <w:rFonts w:hint="eastAsia" w:hAnsi="宋体" w:cs="宋体"/>
          <w:bCs/>
          <w:color w:val="000000"/>
          <w:sz w:val="28"/>
          <w:szCs w:val="28"/>
        </w:rPr>
        <w:t xml:space="preserve">5. 酶学 </w:t>
      </w:r>
    </w:p>
    <w:p w14:paraId="2DD5D289">
      <w:pPr>
        <w:pStyle w:val="15"/>
        <w:keepNext w:val="0"/>
        <w:keepLines w:val="0"/>
        <w:pageBreakBefore w:val="0"/>
        <w:kinsoku/>
        <w:wordWrap/>
        <w:overflowPunct/>
        <w:topLinePunct w:val="0"/>
        <w:autoSpaceDE w:val="0"/>
        <w:autoSpaceDN w:val="0"/>
        <w:bidi w:val="0"/>
        <w:snapToGrid w:val="0"/>
        <w:spacing w:line="560" w:lineRule="exact"/>
        <w:ind w:right="-15" w:firstLine="560" w:firstLineChars="200"/>
        <w:jc w:val="both"/>
        <w:textAlignment w:val="bottom"/>
        <w:rPr>
          <w:rFonts w:hint="eastAsia" w:hAnsi="宋体" w:cs="宋体"/>
          <w:bCs/>
          <w:color w:val="000000"/>
          <w:sz w:val="28"/>
          <w:szCs w:val="28"/>
        </w:rPr>
      </w:pPr>
      <w:r>
        <w:rPr>
          <w:rFonts w:hint="eastAsia" w:hAnsi="宋体" w:cs="宋体"/>
          <w:bCs/>
          <w:color w:val="000000"/>
          <w:sz w:val="28"/>
          <w:szCs w:val="28"/>
        </w:rPr>
        <w:t>熟悉酶的国际分类和命名；酶的作用特点；酶的作用机理；影响酶促反应的因素；酶的提纯与活力鉴定的基本方法；了解抗体酶、核酶和固定化酶的基本概念和应用</w:t>
      </w:r>
    </w:p>
    <w:p w14:paraId="6244C407">
      <w:pPr>
        <w:pStyle w:val="15"/>
        <w:keepNext w:val="0"/>
        <w:keepLines w:val="0"/>
        <w:pageBreakBefore w:val="0"/>
        <w:kinsoku/>
        <w:wordWrap/>
        <w:overflowPunct/>
        <w:topLinePunct w:val="0"/>
        <w:autoSpaceDE w:val="0"/>
        <w:autoSpaceDN w:val="0"/>
        <w:bidi w:val="0"/>
        <w:snapToGrid w:val="0"/>
        <w:spacing w:line="560" w:lineRule="exact"/>
        <w:ind w:right="-15"/>
        <w:jc w:val="both"/>
        <w:textAlignment w:val="bottom"/>
        <w:rPr>
          <w:rFonts w:hint="eastAsia" w:hAnsi="宋体" w:cs="宋体"/>
          <w:bCs/>
          <w:color w:val="000000"/>
          <w:sz w:val="28"/>
          <w:szCs w:val="28"/>
        </w:rPr>
      </w:pPr>
      <w:r>
        <w:rPr>
          <w:rFonts w:hint="eastAsia" w:hAnsi="宋体" w:cs="宋体"/>
          <w:bCs/>
          <w:color w:val="000000"/>
          <w:sz w:val="28"/>
          <w:szCs w:val="28"/>
        </w:rPr>
        <w:t>6. 维生素和辅酶</w:t>
      </w:r>
    </w:p>
    <w:p w14:paraId="5350250A">
      <w:pPr>
        <w:pStyle w:val="15"/>
        <w:keepNext w:val="0"/>
        <w:keepLines w:val="0"/>
        <w:pageBreakBefore w:val="0"/>
        <w:kinsoku/>
        <w:wordWrap/>
        <w:overflowPunct/>
        <w:topLinePunct w:val="0"/>
        <w:autoSpaceDE w:val="0"/>
        <w:autoSpaceDN w:val="0"/>
        <w:bidi w:val="0"/>
        <w:snapToGrid w:val="0"/>
        <w:spacing w:line="560" w:lineRule="exact"/>
        <w:ind w:right="-15" w:firstLine="560" w:firstLineChars="200"/>
        <w:jc w:val="both"/>
        <w:textAlignment w:val="bottom"/>
        <w:rPr>
          <w:rFonts w:hint="eastAsia" w:hAnsi="宋体" w:cs="宋体"/>
          <w:bCs/>
          <w:color w:val="000000"/>
          <w:sz w:val="28"/>
          <w:szCs w:val="28"/>
        </w:rPr>
      </w:pPr>
      <w:r>
        <w:rPr>
          <w:rFonts w:hint="eastAsia" w:hAnsi="宋体" w:cs="宋体"/>
          <w:bCs/>
          <w:color w:val="000000"/>
          <w:sz w:val="28"/>
          <w:szCs w:val="28"/>
        </w:rPr>
        <w:t>维生素的分类及性质；各种维生素的活性形式、生理功能；与辅酶有关的维生素同辅酶的关系及其作用</w:t>
      </w:r>
    </w:p>
    <w:p w14:paraId="04705F48">
      <w:pPr>
        <w:pStyle w:val="15"/>
        <w:keepNext w:val="0"/>
        <w:keepLines w:val="0"/>
        <w:pageBreakBefore w:val="0"/>
        <w:kinsoku/>
        <w:wordWrap/>
        <w:overflowPunct/>
        <w:topLinePunct w:val="0"/>
        <w:autoSpaceDE w:val="0"/>
        <w:autoSpaceDN w:val="0"/>
        <w:bidi w:val="0"/>
        <w:snapToGrid w:val="0"/>
        <w:spacing w:line="560" w:lineRule="exact"/>
        <w:ind w:right="-15"/>
        <w:jc w:val="both"/>
        <w:textAlignment w:val="bottom"/>
        <w:rPr>
          <w:rFonts w:hint="eastAsia" w:hAnsi="宋体" w:cs="宋体"/>
          <w:bCs/>
          <w:color w:val="000000"/>
          <w:sz w:val="28"/>
          <w:szCs w:val="28"/>
        </w:rPr>
      </w:pPr>
      <w:r>
        <w:rPr>
          <w:rFonts w:hint="eastAsia" w:hAnsi="宋体" w:cs="宋体"/>
          <w:bCs/>
          <w:color w:val="000000"/>
          <w:sz w:val="28"/>
          <w:szCs w:val="28"/>
        </w:rPr>
        <w:t>7. 激素</w:t>
      </w:r>
    </w:p>
    <w:p w14:paraId="0101DDBE">
      <w:pPr>
        <w:pStyle w:val="15"/>
        <w:keepNext w:val="0"/>
        <w:keepLines w:val="0"/>
        <w:pageBreakBefore w:val="0"/>
        <w:kinsoku/>
        <w:wordWrap/>
        <w:overflowPunct/>
        <w:topLinePunct w:val="0"/>
        <w:autoSpaceDE w:val="0"/>
        <w:autoSpaceDN w:val="0"/>
        <w:bidi w:val="0"/>
        <w:snapToGrid w:val="0"/>
        <w:spacing w:line="560" w:lineRule="exact"/>
        <w:ind w:right="-15" w:firstLine="560" w:firstLineChars="200"/>
        <w:jc w:val="both"/>
        <w:textAlignment w:val="bottom"/>
        <w:rPr>
          <w:rFonts w:hint="eastAsia" w:hAnsi="宋体" w:cs="宋体"/>
          <w:bCs/>
          <w:color w:val="000000"/>
          <w:sz w:val="28"/>
          <w:szCs w:val="28"/>
        </w:rPr>
      </w:pPr>
      <w:r>
        <w:rPr>
          <w:rFonts w:hint="eastAsia" w:hAnsi="宋体" w:cs="宋体"/>
          <w:bCs/>
          <w:color w:val="000000"/>
          <w:sz w:val="28"/>
          <w:szCs w:val="28"/>
        </w:rPr>
        <w:t>激素的分类；常见激素的结构和功能（甲状腺素、肾上腺素、胰岛素、胰高血糖素）；激素作用机理</w:t>
      </w:r>
    </w:p>
    <w:p w14:paraId="4728413A">
      <w:pPr>
        <w:pStyle w:val="15"/>
        <w:keepNext w:val="0"/>
        <w:keepLines w:val="0"/>
        <w:pageBreakBefore w:val="0"/>
        <w:kinsoku/>
        <w:wordWrap/>
        <w:overflowPunct/>
        <w:topLinePunct w:val="0"/>
        <w:autoSpaceDE w:val="0"/>
        <w:autoSpaceDN w:val="0"/>
        <w:bidi w:val="0"/>
        <w:snapToGrid w:val="0"/>
        <w:spacing w:line="560" w:lineRule="exact"/>
        <w:ind w:right="-15"/>
        <w:jc w:val="both"/>
        <w:textAlignment w:val="bottom"/>
        <w:rPr>
          <w:rFonts w:hint="eastAsia" w:hAnsi="宋体" w:cs="宋体"/>
          <w:bCs/>
          <w:color w:val="000000"/>
          <w:sz w:val="28"/>
          <w:szCs w:val="28"/>
        </w:rPr>
      </w:pPr>
      <w:r>
        <w:rPr>
          <w:rFonts w:hint="eastAsia" w:hAnsi="宋体" w:cs="宋体"/>
          <w:bCs/>
          <w:color w:val="000000"/>
          <w:sz w:val="28"/>
          <w:szCs w:val="28"/>
        </w:rPr>
        <w:t>8．新陈代谢和生物能学</w:t>
      </w:r>
    </w:p>
    <w:p w14:paraId="549D0C74">
      <w:pPr>
        <w:pStyle w:val="15"/>
        <w:keepNext w:val="0"/>
        <w:keepLines w:val="0"/>
        <w:pageBreakBefore w:val="0"/>
        <w:kinsoku/>
        <w:wordWrap/>
        <w:overflowPunct/>
        <w:topLinePunct w:val="0"/>
        <w:autoSpaceDE w:val="0"/>
        <w:autoSpaceDN w:val="0"/>
        <w:bidi w:val="0"/>
        <w:snapToGrid w:val="0"/>
        <w:spacing w:line="560" w:lineRule="exact"/>
        <w:ind w:right="-15" w:firstLine="560" w:firstLineChars="200"/>
        <w:jc w:val="both"/>
        <w:textAlignment w:val="bottom"/>
        <w:rPr>
          <w:rFonts w:hint="eastAsia" w:hAnsi="宋体" w:cs="宋体"/>
          <w:bCs/>
          <w:color w:val="000000"/>
          <w:sz w:val="28"/>
          <w:szCs w:val="28"/>
        </w:rPr>
      </w:pPr>
      <w:r>
        <w:rPr>
          <w:rFonts w:hint="eastAsia" w:hAnsi="宋体" w:cs="宋体"/>
          <w:bCs/>
          <w:color w:val="000000"/>
          <w:sz w:val="28"/>
          <w:szCs w:val="28"/>
        </w:rPr>
        <w:t>新陈代谢的概念、类型及其特点；ATP与高能磷酸化合物；ATP的生物学功能；电子传递过程与ATP的生成；呼吸链的组分、呼吸链中传递体的排列顺序</w:t>
      </w:r>
    </w:p>
    <w:p w14:paraId="0162C623">
      <w:pPr>
        <w:pStyle w:val="15"/>
        <w:keepNext w:val="0"/>
        <w:keepLines w:val="0"/>
        <w:pageBreakBefore w:val="0"/>
        <w:kinsoku/>
        <w:wordWrap/>
        <w:overflowPunct/>
        <w:topLinePunct w:val="0"/>
        <w:autoSpaceDE w:val="0"/>
        <w:autoSpaceDN w:val="0"/>
        <w:bidi w:val="0"/>
        <w:snapToGrid w:val="0"/>
        <w:spacing w:line="560" w:lineRule="exact"/>
        <w:ind w:right="-15"/>
        <w:jc w:val="both"/>
        <w:textAlignment w:val="bottom"/>
        <w:rPr>
          <w:rFonts w:hint="eastAsia" w:hAnsi="宋体" w:cs="宋体"/>
          <w:bCs/>
          <w:color w:val="000000"/>
          <w:sz w:val="28"/>
          <w:szCs w:val="28"/>
        </w:rPr>
      </w:pPr>
      <w:r>
        <w:rPr>
          <w:rFonts w:hint="eastAsia" w:hAnsi="宋体" w:cs="宋体"/>
          <w:bCs/>
          <w:color w:val="000000"/>
          <w:sz w:val="28"/>
          <w:szCs w:val="28"/>
        </w:rPr>
        <w:t xml:space="preserve">9. 糖的分解代谢和合成代谢 </w:t>
      </w:r>
    </w:p>
    <w:p w14:paraId="0FDBEA5D">
      <w:pPr>
        <w:pStyle w:val="15"/>
        <w:keepNext w:val="0"/>
        <w:keepLines w:val="0"/>
        <w:pageBreakBefore w:val="0"/>
        <w:kinsoku/>
        <w:wordWrap/>
        <w:overflowPunct/>
        <w:topLinePunct w:val="0"/>
        <w:autoSpaceDE w:val="0"/>
        <w:autoSpaceDN w:val="0"/>
        <w:bidi w:val="0"/>
        <w:snapToGrid w:val="0"/>
        <w:spacing w:line="560" w:lineRule="exact"/>
        <w:ind w:right="-15" w:firstLine="560" w:firstLineChars="200"/>
        <w:jc w:val="both"/>
        <w:textAlignment w:val="bottom"/>
        <w:rPr>
          <w:rFonts w:hint="eastAsia" w:hAnsi="宋体" w:cs="宋体"/>
          <w:bCs/>
          <w:color w:val="000000"/>
          <w:sz w:val="28"/>
          <w:szCs w:val="28"/>
        </w:rPr>
      </w:pPr>
      <w:r>
        <w:rPr>
          <w:rFonts w:hint="eastAsia" w:hAnsi="宋体" w:cs="宋体"/>
          <w:bCs/>
          <w:color w:val="000000"/>
          <w:sz w:val="28"/>
          <w:szCs w:val="28"/>
        </w:rPr>
        <w:t>糖的代谢途径和有关的酶；糖的无氧分解、有氧氧化的概念、部位和过程；糖酵解、丙酮酸的氧化脱羧和三羧酸循环的反应过程及催化反应关键酶调控；糖异生作用的概念、场所、原料及主要途径；糖原合成作用；光合作用的概况</w:t>
      </w:r>
    </w:p>
    <w:p w14:paraId="38BA448B">
      <w:pPr>
        <w:pStyle w:val="15"/>
        <w:keepNext w:val="0"/>
        <w:keepLines w:val="0"/>
        <w:pageBreakBefore w:val="0"/>
        <w:kinsoku/>
        <w:wordWrap/>
        <w:overflowPunct/>
        <w:topLinePunct w:val="0"/>
        <w:autoSpaceDE w:val="0"/>
        <w:autoSpaceDN w:val="0"/>
        <w:bidi w:val="0"/>
        <w:snapToGrid w:val="0"/>
        <w:spacing w:line="560" w:lineRule="exact"/>
        <w:ind w:right="-15"/>
        <w:jc w:val="both"/>
        <w:textAlignment w:val="bottom"/>
        <w:rPr>
          <w:rFonts w:hint="eastAsia" w:hAnsi="宋体" w:cs="宋体"/>
          <w:bCs/>
          <w:color w:val="000000"/>
          <w:sz w:val="28"/>
          <w:szCs w:val="28"/>
        </w:rPr>
      </w:pPr>
      <w:r>
        <w:rPr>
          <w:rFonts w:hint="eastAsia" w:hAnsi="宋体" w:cs="宋体"/>
          <w:bCs/>
          <w:color w:val="000000"/>
          <w:sz w:val="28"/>
          <w:szCs w:val="28"/>
        </w:rPr>
        <w:t xml:space="preserve">10. 脂类的代谢与合成 </w:t>
      </w:r>
    </w:p>
    <w:p w14:paraId="6824A11B">
      <w:pPr>
        <w:pStyle w:val="15"/>
        <w:keepNext w:val="0"/>
        <w:keepLines w:val="0"/>
        <w:pageBreakBefore w:val="0"/>
        <w:kinsoku/>
        <w:wordWrap/>
        <w:overflowPunct/>
        <w:topLinePunct w:val="0"/>
        <w:autoSpaceDE w:val="0"/>
        <w:autoSpaceDN w:val="0"/>
        <w:bidi w:val="0"/>
        <w:snapToGrid w:val="0"/>
        <w:spacing w:line="560" w:lineRule="exact"/>
        <w:ind w:right="-15" w:firstLine="560" w:firstLineChars="200"/>
        <w:jc w:val="both"/>
        <w:textAlignment w:val="bottom"/>
        <w:rPr>
          <w:rFonts w:hint="eastAsia" w:hAnsi="宋体" w:cs="宋体"/>
          <w:bCs/>
          <w:color w:val="000000"/>
          <w:sz w:val="28"/>
          <w:szCs w:val="28"/>
        </w:rPr>
      </w:pPr>
      <w:r>
        <w:rPr>
          <w:rFonts w:hint="eastAsia" w:hAnsi="宋体" w:cs="宋体"/>
          <w:bCs/>
          <w:color w:val="000000"/>
          <w:sz w:val="28"/>
          <w:szCs w:val="28"/>
        </w:rPr>
        <w:t>脂肪动员的概念、限速酶；甘油代谢；脂肪酸的</w:t>
      </w:r>
      <w:r>
        <w:rPr>
          <w:rFonts w:hint="eastAsia" w:hAnsi="宋体" w:cs="宋体"/>
          <w:bCs/>
          <w:color w:val="000000"/>
          <w:sz w:val="28"/>
          <w:szCs w:val="28"/>
        </w:rPr>
        <w:fldChar w:fldCharType="begin"/>
      </w:r>
      <w:r>
        <w:rPr>
          <w:rFonts w:hint="eastAsia" w:hAnsi="宋体" w:cs="宋体"/>
          <w:bCs/>
          <w:color w:val="000000"/>
          <w:sz w:val="28"/>
          <w:szCs w:val="28"/>
        </w:rPr>
        <w:instrText xml:space="preserve">symbol 98 \f "Symbol" \s 12</w:instrText>
      </w:r>
      <w:r>
        <w:rPr>
          <w:rFonts w:hint="eastAsia" w:hAnsi="宋体" w:cs="宋体"/>
          <w:bCs/>
          <w:color w:val="000000"/>
          <w:sz w:val="28"/>
          <w:szCs w:val="28"/>
        </w:rPr>
        <w:fldChar w:fldCharType="separate"/>
      </w:r>
      <w:r>
        <w:rPr>
          <w:rFonts w:hint="eastAsia" w:hAnsi="宋体" w:cs="宋体"/>
          <w:bCs/>
          <w:color w:val="000000"/>
          <w:sz w:val="28"/>
          <w:szCs w:val="28"/>
        </w:rPr>
        <w:t></w:t>
      </w:r>
      <w:r>
        <w:rPr>
          <w:rFonts w:hint="eastAsia" w:hAnsi="宋体" w:cs="宋体"/>
          <w:bCs/>
          <w:color w:val="000000"/>
          <w:sz w:val="28"/>
          <w:szCs w:val="28"/>
        </w:rPr>
        <w:fldChar w:fldCharType="end"/>
      </w:r>
      <w:r>
        <w:rPr>
          <w:rFonts w:hint="eastAsia" w:hAnsi="宋体" w:cs="宋体"/>
          <w:bCs/>
          <w:color w:val="000000"/>
          <w:sz w:val="28"/>
          <w:szCs w:val="28"/>
        </w:rPr>
        <w:t>-氧化过程及其能量的计算；酮体的生成和利用；胆固醇合成的部位、原料及胆固醇的转化及排泄；血脂及血浆脂蛋白</w:t>
      </w:r>
    </w:p>
    <w:p w14:paraId="59389151">
      <w:pPr>
        <w:pStyle w:val="15"/>
        <w:keepNext w:val="0"/>
        <w:keepLines w:val="0"/>
        <w:pageBreakBefore w:val="0"/>
        <w:kinsoku/>
        <w:wordWrap/>
        <w:overflowPunct/>
        <w:topLinePunct w:val="0"/>
        <w:autoSpaceDE w:val="0"/>
        <w:autoSpaceDN w:val="0"/>
        <w:bidi w:val="0"/>
        <w:snapToGrid w:val="0"/>
        <w:spacing w:line="560" w:lineRule="exact"/>
        <w:ind w:right="-15"/>
        <w:jc w:val="both"/>
        <w:textAlignment w:val="bottom"/>
        <w:rPr>
          <w:rFonts w:hint="eastAsia" w:hAnsi="宋体" w:cs="宋体"/>
          <w:bCs/>
          <w:color w:val="000000"/>
          <w:sz w:val="28"/>
          <w:szCs w:val="28"/>
        </w:rPr>
      </w:pPr>
      <w:r>
        <w:rPr>
          <w:rFonts w:hint="eastAsia" w:hAnsi="宋体" w:cs="宋体"/>
          <w:bCs/>
          <w:color w:val="000000"/>
          <w:sz w:val="28"/>
          <w:szCs w:val="28"/>
        </w:rPr>
        <w:t xml:space="preserve">11. 核酸的代谢 </w:t>
      </w:r>
    </w:p>
    <w:p w14:paraId="4A48A8A1">
      <w:pPr>
        <w:pStyle w:val="15"/>
        <w:keepNext w:val="0"/>
        <w:keepLines w:val="0"/>
        <w:pageBreakBefore w:val="0"/>
        <w:kinsoku/>
        <w:wordWrap/>
        <w:overflowPunct/>
        <w:topLinePunct w:val="0"/>
        <w:autoSpaceDE w:val="0"/>
        <w:autoSpaceDN w:val="0"/>
        <w:bidi w:val="0"/>
        <w:snapToGrid w:val="0"/>
        <w:spacing w:line="560" w:lineRule="exact"/>
        <w:ind w:right="-15" w:firstLine="560" w:firstLineChars="200"/>
        <w:jc w:val="both"/>
        <w:textAlignment w:val="bottom"/>
        <w:rPr>
          <w:rFonts w:hint="eastAsia" w:hAnsi="宋体" w:cs="宋体"/>
          <w:bCs/>
          <w:color w:val="000000"/>
          <w:sz w:val="28"/>
          <w:szCs w:val="28"/>
        </w:rPr>
      </w:pPr>
      <w:r>
        <w:rPr>
          <w:rFonts w:hint="eastAsia" w:hAnsi="宋体" w:cs="宋体"/>
          <w:bCs/>
          <w:color w:val="000000"/>
          <w:sz w:val="28"/>
          <w:szCs w:val="28"/>
        </w:rPr>
        <w:t>嘌呤、嘧啶核苷酸的分解代谢与合成代谢的途径；外源核酸的消化和吸收；碱基的分解；核苷酸的生物合成</w:t>
      </w:r>
    </w:p>
    <w:p w14:paraId="289D9648">
      <w:pPr>
        <w:keepNext w:val="0"/>
        <w:keepLines w:val="0"/>
        <w:pageBreakBefore w:val="0"/>
        <w:kinsoku/>
        <w:wordWrap/>
        <w:overflowPunct/>
        <w:topLinePunct w:val="0"/>
        <w:bidi w:val="0"/>
        <w:snapToGrid w:val="0"/>
        <w:spacing w:line="560" w:lineRule="exact"/>
        <w:jc w:val="both"/>
        <w:rPr>
          <w:rFonts w:hint="eastAsia" w:ascii="宋体" w:hAnsi="宋体" w:cs="宋体"/>
          <w:bCs/>
          <w:color w:val="000000"/>
          <w:sz w:val="28"/>
          <w:szCs w:val="28"/>
        </w:rPr>
      </w:pPr>
      <w:r>
        <w:rPr>
          <w:rFonts w:hint="eastAsia" w:ascii="宋体" w:hAnsi="宋体" w:cs="宋体"/>
          <w:bCs/>
          <w:color w:val="000000"/>
          <w:sz w:val="28"/>
          <w:szCs w:val="28"/>
        </w:rPr>
        <w:t>12. 蛋白质和氨基酸的代谢</w:t>
      </w:r>
    </w:p>
    <w:p w14:paraId="793C6395">
      <w:pPr>
        <w:pStyle w:val="15"/>
        <w:keepNext w:val="0"/>
        <w:keepLines w:val="0"/>
        <w:pageBreakBefore w:val="0"/>
        <w:kinsoku/>
        <w:wordWrap/>
        <w:overflowPunct/>
        <w:topLinePunct w:val="0"/>
        <w:autoSpaceDE w:val="0"/>
        <w:autoSpaceDN w:val="0"/>
        <w:bidi w:val="0"/>
        <w:snapToGrid w:val="0"/>
        <w:spacing w:line="560" w:lineRule="exact"/>
        <w:ind w:right="-15" w:firstLine="560" w:firstLineChars="200"/>
        <w:jc w:val="both"/>
        <w:textAlignment w:val="bottom"/>
        <w:rPr>
          <w:rFonts w:hint="eastAsia" w:hAnsi="宋体" w:cs="宋体"/>
          <w:bCs/>
          <w:color w:val="000000"/>
          <w:sz w:val="28"/>
          <w:szCs w:val="28"/>
        </w:rPr>
      </w:pPr>
      <w:r>
        <w:rPr>
          <w:rFonts w:hint="eastAsia" w:hAnsi="宋体" w:cs="宋体"/>
          <w:bCs/>
          <w:color w:val="000000"/>
          <w:sz w:val="28"/>
          <w:szCs w:val="28"/>
        </w:rPr>
        <w:t>蛋白质的降解和氨基酸的分解代谢；尿素的形成；氨基酸碳骨架的氧化途径；氨基酸的生物合成和调节；氨基酸衍生物</w:t>
      </w:r>
    </w:p>
    <w:p w14:paraId="769AEA3C">
      <w:pPr>
        <w:pStyle w:val="15"/>
        <w:keepNext w:val="0"/>
        <w:keepLines w:val="0"/>
        <w:pageBreakBefore w:val="0"/>
        <w:kinsoku/>
        <w:wordWrap/>
        <w:overflowPunct/>
        <w:topLinePunct w:val="0"/>
        <w:autoSpaceDE w:val="0"/>
        <w:autoSpaceDN w:val="0"/>
        <w:bidi w:val="0"/>
        <w:snapToGrid w:val="0"/>
        <w:spacing w:line="560" w:lineRule="exact"/>
        <w:ind w:right="-15"/>
        <w:jc w:val="both"/>
        <w:textAlignment w:val="bottom"/>
        <w:rPr>
          <w:rFonts w:hint="eastAsia" w:hAnsi="宋体" w:cs="宋体"/>
          <w:bCs/>
          <w:color w:val="000000"/>
          <w:sz w:val="28"/>
          <w:szCs w:val="28"/>
        </w:rPr>
      </w:pPr>
      <w:r>
        <w:rPr>
          <w:rFonts w:hint="eastAsia" w:hAnsi="宋体" w:cs="宋体"/>
          <w:bCs/>
          <w:color w:val="000000"/>
          <w:sz w:val="28"/>
          <w:szCs w:val="28"/>
        </w:rPr>
        <w:t>13. DNA，RNA和遗传密码</w:t>
      </w:r>
    </w:p>
    <w:p w14:paraId="00848B17">
      <w:pPr>
        <w:pStyle w:val="15"/>
        <w:keepNext w:val="0"/>
        <w:keepLines w:val="0"/>
        <w:pageBreakBefore w:val="0"/>
        <w:kinsoku/>
        <w:wordWrap/>
        <w:overflowPunct/>
        <w:topLinePunct w:val="0"/>
        <w:autoSpaceDE w:val="0"/>
        <w:autoSpaceDN w:val="0"/>
        <w:bidi w:val="0"/>
        <w:snapToGrid w:val="0"/>
        <w:spacing w:line="560" w:lineRule="exact"/>
        <w:ind w:right="-15" w:firstLine="560" w:firstLineChars="200"/>
        <w:jc w:val="both"/>
        <w:textAlignment w:val="bottom"/>
        <w:rPr>
          <w:rFonts w:hint="eastAsia" w:hAnsi="宋体" w:cs="宋体"/>
          <w:bCs/>
          <w:color w:val="000000"/>
          <w:sz w:val="28"/>
          <w:szCs w:val="28"/>
        </w:rPr>
      </w:pPr>
      <w:r>
        <w:rPr>
          <w:rFonts w:hint="eastAsia" w:hAnsi="宋体" w:cs="宋体"/>
          <w:bCs/>
          <w:color w:val="000000"/>
          <w:sz w:val="28"/>
          <w:szCs w:val="28"/>
        </w:rPr>
        <w:t>DNA复制的一般规律；参与DNA复制的酶类与蛋白质因子的种类和作用（重点是原核生物的DNA聚合酶）；DNA复制的基本过程；真核生物与原核生物DNA复制的比较；转录基本概念；参与转录的酶及有关因子；原核生物的转录过程；RNA转录后加工的意义；mRNA、tRNA、rRNA和非编码RNA的后加工；逆转录的过程；RNA的复制；染色体与DNA（真核细胞染色体的组成，原核生物基因组）；DNA损伤与修复的机理</w:t>
      </w:r>
    </w:p>
    <w:p w14:paraId="622DBE64">
      <w:pPr>
        <w:pStyle w:val="15"/>
        <w:keepNext w:val="0"/>
        <w:keepLines w:val="0"/>
        <w:pageBreakBefore w:val="0"/>
        <w:kinsoku/>
        <w:wordWrap/>
        <w:overflowPunct/>
        <w:topLinePunct w:val="0"/>
        <w:autoSpaceDE w:val="0"/>
        <w:autoSpaceDN w:val="0"/>
        <w:bidi w:val="0"/>
        <w:snapToGrid w:val="0"/>
        <w:spacing w:line="560" w:lineRule="exact"/>
        <w:ind w:right="-15"/>
        <w:jc w:val="both"/>
        <w:textAlignment w:val="bottom"/>
        <w:rPr>
          <w:rFonts w:hint="eastAsia" w:hAnsi="宋体" w:cs="宋体"/>
          <w:bCs/>
          <w:color w:val="000000"/>
          <w:sz w:val="28"/>
          <w:szCs w:val="28"/>
        </w:rPr>
      </w:pPr>
      <w:r>
        <w:rPr>
          <w:rFonts w:hint="eastAsia" w:hAnsi="宋体" w:cs="宋体"/>
          <w:bCs/>
          <w:color w:val="000000"/>
          <w:sz w:val="28"/>
          <w:szCs w:val="28"/>
        </w:rPr>
        <w:t>14. 蛋白质的合成和转运</w:t>
      </w:r>
    </w:p>
    <w:p w14:paraId="2A6CA81A">
      <w:pPr>
        <w:pStyle w:val="15"/>
        <w:keepNext w:val="0"/>
        <w:keepLines w:val="0"/>
        <w:pageBreakBefore w:val="0"/>
        <w:kinsoku/>
        <w:wordWrap/>
        <w:overflowPunct/>
        <w:topLinePunct w:val="0"/>
        <w:autoSpaceDE w:val="0"/>
        <w:autoSpaceDN w:val="0"/>
        <w:bidi w:val="0"/>
        <w:snapToGrid w:val="0"/>
        <w:spacing w:line="560" w:lineRule="exact"/>
        <w:ind w:right="-15" w:firstLine="560" w:firstLineChars="200"/>
        <w:jc w:val="both"/>
        <w:textAlignment w:val="bottom"/>
        <w:rPr>
          <w:rFonts w:hint="eastAsia" w:hAnsi="宋体" w:cs="宋体"/>
          <w:bCs/>
          <w:color w:val="000000"/>
          <w:sz w:val="28"/>
          <w:szCs w:val="28"/>
        </w:rPr>
      </w:pPr>
      <w:r>
        <w:rPr>
          <w:rFonts w:hint="eastAsia" w:hAnsi="宋体" w:cs="宋体"/>
          <w:bCs/>
          <w:color w:val="000000"/>
          <w:sz w:val="28"/>
          <w:szCs w:val="28"/>
        </w:rPr>
        <w:t>mRNA在蛋白质生物合成中的作用、密码子的概念与特点；tRNA、核糖体在蛋白质生物合成中的作用；蛋白质生物合成的过程；翻译后的加工过程；真核生物与原核生物蛋白质合成的区别；蛋白质合成的抑制剂；分子伴侣的功能</w:t>
      </w:r>
    </w:p>
    <w:p w14:paraId="2C3FC6F6">
      <w:pPr>
        <w:pStyle w:val="15"/>
        <w:keepNext w:val="0"/>
        <w:keepLines w:val="0"/>
        <w:pageBreakBefore w:val="0"/>
        <w:kinsoku/>
        <w:wordWrap/>
        <w:overflowPunct/>
        <w:topLinePunct w:val="0"/>
        <w:autoSpaceDE w:val="0"/>
        <w:autoSpaceDN w:val="0"/>
        <w:bidi w:val="0"/>
        <w:snapToGrid w:val="0"/>
        <w:spacing w:line="560" w:lineRule="exact"/>
        <w:ind w:right="-15"/>
        <w:jc w:val="both"/>
        <w:textAlignment w:val="bottom"/>
        <w:rPr>
          <w:rFonts w:hint="eastAsia" w:hAnsi="宋体" w:cs="宋体"/>
          <w:bCs/>
          <w:color w:val="000000"/>
          <w:sz w:val="28"/>
          <w:szCs w:val="28"/>
        </w:rPr>
      </w:pPr>
      <w:r>
        <w:rPr>
          <w:rFonts w:hint="eastAsia" w:hAnsi="宋体" w:cs="宋体"/>
          <w:bCs/>
          <w:color w:val="000000"/>
          <w:sz w:val="28"/>
          <w:szCs w:val="28"/>
        </w:rPr>
        <w:t>15. 细胞代谢和基因表达调控</w:t>
      </w:r>
    </w:p>
    <w:p w14:paraId="323DE7F2">
      <w:pPr>
        <w:pStyle w:val="15"/>
        <w:keepNext w:val="0"/>
        <w:keepLines w:val="0"/>
        <w:pageBreakBefore w:val="0"/>
        <w:kinsoku/>
        <w:wordWrap/>
        <w:overflowPunct/>
        <w:topLinePunct w:val="0"/>
        <w:autoSpaceDE w:val="0"/>
        <w:autoSpaceDN w:val="0"/>
        <w:bidi w:val="0"/>
        <w:snapToGrid w:val="0"/>
        <w:spacing w:line="560" w:lineRule="exact"/>
        <w:ind w:right="-15" w:firstLine="560" w:firstLineChars="200"/>
        <w:jc w:val="both"/>
        <w:textAlignment w:val="bottom"/>
        <w:rPr>
          <w:rFonts w:hint="eastAsia" w:hAnsi="宋体" w:cs="宋体"/>
          <w:bCs/>
          <w:color w:val="000000"/>
          <w:sz w:val="28"/>
          <w:szCs w:val="28"/>
        </w:rPr>
      </w:pPr>
      <w:r>
        <w:rPr>
          <w:rFonts w:hint="eastAsia" w:hAnsi="宋体" w:cs="宋体"/>
          <w:bCs/>
          <w:color w:val="000000"/>
          <w:sz w:val="28"/>
          <w:szCs w:val="28"/>
        </w:rPr>
        <w:t>细胞代谢的调节网络；酶活性的调节；细胞信号传递系统；原核生物和真核生物基因表达调控的区别；原核基因表达调控（</w:t>
      </w:r>
      <w:r>
        <w:rPr>
          <w:rFonts w:hint="eastAsia" w:hAnsi="宋体" w:cs="宋体"/>
          <w:bCs/>
          <w:color w:val="000000"/>
          <w:sz w:val="28"/>
          <w:szCs w:val="21"/>
        </w:rPr>
        <w:t>转录调节的类型，启动子与转录起始，RNA聚合酶与启动子的相互作用）；</w:t>
      </w:r>
      <w:r>
        <w:rPr>
          <w:rFonts w:hint="eastAsia" w:hAnsi="宋体" w:cs="宋体"/>
          <w:bCs/>
          <w:color w:val="000000"/>
          <w:sz w:val="28"/>
          <w:szCs w:val="28"/>
        </w:rPr>
        <w:t>操纵子学说（</w:t>
      </w:r>
      <w:r>
        <w:rPr>
          <w:rFonts w:hint="eastAsia" w:hAnsi="宋体" w:cs="宋体"/>
          <w:bCs/>
          <w:color w:val="000000"/>
          <w:sz w:val="28"/>
          <w:szCs w:val="21"/>
        </w:rPr>
        <w:t>乳糖操纵子，色氨酸操纵子</w:t>
      </w:r>
      <w:r>
        <w:rPr>
          <w:rFonts w:hint="eastAsia" w:hAnsi="宋体" w:cs="宋体"/>
          <w:bCs/>
          <w:color w:val="000000"/>
          <w:sz w:val="28"/>
          <w:szCs w:val="28"/>
        </w:rPr>
        <w:t>）；翻译水平上的基因表达调控；真核生物基因转录活性的调节和转录因子的功能</w:t>
      </w:r>
    </w:p>
    <w:p w14:paraId="77158C2D">
      <w:pPr>
        <w:pStyle w:val="15"/>
        <w:keepNext w:val="0"/>
        <w:keepLines w:val="0"/>
        <w:pageBreakBefore w:val="0"/>
        <w:kinsoku/>
        <w:wordWrap/>
        <w:overflowPunct/>
        <w:topLinePunct w:val="0"/>
        <w:autoSpaceDE w:val="0"/>
        <w:autoSpaceDN w:val="0"/>
        <w:bidi w:val="0"/>
        <w:snapToGrid w:val="0"/>
        <w:spacing w:line="560" w:lineRule="exact"/>
        <w:ind w:right="-15"/>
        <w:jc w:val="both"/>
        <w:textAlignment w:val="bottom"/>
        <w:rPr>
          <w:rFonts w:hint="eastAsia" w:hAnsi="宋体" w:cs="宋体"/>
          <w:bCs/>
          <w:color w:val="000000"/>
          <w:sz w:val="28"/>
          <w:szCs w:val="28"/>
        </w:rPr>
      </w:pPr>
      <w:r>
        <w:rPr>
          <w:rFonts w:hint="eastAsia" w:hAnsi="宋体" w:cs="宋体"/>
          <w:bCs/>
          <w:color w:val="000000"/>
          <w:sz w:val="28"/>
          <w:szCs w:val="28"/>
        </w:rPr>
        <w:t>16．基因工程和蛋白质工程</w:t>
      </w:r>
    </w:p>
    <w:p w14:paraId="5B7507C5">
      <w:pPr>
        <w:pStyle w:val="15"/>
        <w:keepNext w:val="0"/>
        <w:keepLines w:val="0"/>
        <w:pageBreakBefore w:val="0"/>
        <w:kinsoku/>
        <w:wordWrap/>
        <w:overflowPunct/>
        <w:topLinePunct w:val="0"/>
        <w:autoSpaceDE w:val="0"/>
        <w:autoSpaceDN w:val="0"/>
        <w:bidi w:val="0"/>
        <w:snapToGrid w:val="0"/>
        <w:spacing w:line="560" w:lineRule="exact"/>
        <w:ind w:right="-15" w:firstLine="560" w:firstLineChars="200"/>
        <w:jc w:val="both"/>
        <w:textAlignment w:val="bottom"/>
        <w:rPr>
          <w:rFonts w:hint="eastAsia" w:hAnsi="宋体" w:cs="宋体"/>
          <w:bCs/>
          <w:color w:val="000000"/>
          <w:sz w:val="28"/>
          <w:szCs w:val="28"/>
        </w:rPr>
      </w:pPr>
      <w:r>
        <w:rPr>
          <w:rFonts w:hint="eastAsia" w:hAnsi="宋体" w:cs="宋体"/>
          <w:bCs/>
          <w:color w:val="000000"/>
          <w:sz w:val="28"/>
          <w:szCs w:val="28"/>
        </w:rPr>
        <w:t>DNA克隆的基本原理；基因的分离、合成和测序；克隆基因的表达；基因的功能研究；蛋白质工程；基因编辑技术；生物化学领域重大科技进展</w:t>
      </w:r>
    </w:p>
    <w:p w14:paraId="329C2E29">
      <w:pPr>
        <w:keepNext w:val="0"/>
        <w:keepLines w:val="0"/>
        <w:pageBreakBefore w:val="0"/>
        <w:kinsoku/>
        <w:wordWrap/>
        <w:overflowPunct/>
        <w:topLinePunct w:val="0"/>
        <w:bidi w:val="0"/>
        <w:snapToGrid w:val="0"/>
        <w:spacing w:line="560" w:lineRule="exact"/>
        <w:jc w:val="both"/>
        <w:rPr>
          <w:rFonts w:hint="eastAsia" w:ascii="宋体" w:hAnsi="宋体" w:cs="宋体"/>
          <w:sz w:val="28"/>
          <w:szCs w:val="28"/>
        </w:rPr>
      </w:pPr>
    </w:p>
    <w:p w14:paraId="3A09AAF3">
      <w:pPr>
        <w:keepNext w:val="0"/>
        <w:keepLines w:val="0"/>
        <w:pageBreakBefore w:val="0"/>
        <w:kinsoku/>
        <w:wordWrap/>
        <w:overflowPunct/>
        <w:topLinePunct w:val="0"/>
        <w:bidi w:val="0"/>
        <w:snapToGrid w:val="0"/>
        <w:spacing w:line="560" w:lineRule="exact"/>
        <w:jc w:val="both"/>
        <w:rPr>
          <w:rFonts w:hint="eastAsia" w:ascii="宋体" w:hAnsi="宋体" w:cs="宋体"/>
          <w:b/>
          <w:bCs/>
          <w:sz w:val="28"/>
          <w:szCs w:val="28"/>
        </w:rPr>
      </w:pPr>
      <w:r>
        <w:rPr>
          <w:rFonts w:hint="eastAsia" w:ascii="宋体" w:hAnsi="宋体" w:cs="宋体"/>
          <w:b/>
          <w:bCs/>
          <w:sz w:val="28"/>
          <w:szCs w:val="28"/>
        </w:rPr>
        <w:t>生物化学实验</w:t>
      </w:r>
    </w:p>
    <w:p w14:paraId="468AC818">
      <w:pPr>
        <w:keepNext w:val="0"/>
        <w:keepLines w:val="0"/>
        <w:pageBreakBefore w:val="0"/>
        <w:kinsoku/>
        <w:wordWrap/>
        <w:overflowPunct/>
        <w:topLinePunct w:val="0"/>
        <w:bidi w:val="0"/>
        <w:snapToGrid w:val="0"/>
        <w:spacing w:line="560" w:lineRule="exact"/>
        <w:jc w:val="both"/>
        <w:rPr>
          <w:rFonts w:hint="eastAsia" w:ascii="宋体" w:hAnsi="宋体" w:cs="宋体"/>
          <w:b/>
          <w:bCs/>
          <w:sz w:val="28"/>
          <w:szCs w:val="28"/>
        </w:rPr>
      </w:pPr>
      <w:r>
        <w:rPr>
          <w:rFonts w:hint="eastAsia" w:ascii="宋体" w:hAnsi="宋体" w:cs="宋体"/>
          <w:b/>
          <w:bCs/>
          <w:sz w:val="28"/>
          <w:szCs w:val="28"/>
        </w:rPr>
        <w:t>考试内容：</w:t>
      </w:r>
    </w:p>
    <w:p w14:paraId="6D716284">
      <w:pPr>
        <w:keepNext w:val="0"/>
        <w:keepLines w:val="0"/>
        <w:pageBreakBefore w:val="0"/>
        <w:kinsoku/>
        <w:wordWrap/>
        <w:overflowPunct/>
        <w:topLinePunct w:val="0"/>
        <w:bidi w:val="0"/>
        <w:snapToGrid w:val="0"/>
        <w:spacing w:line="560" w:lineRule="exact"/>
        <w:ind w:firstLine="420"/>
        <w:jc w:val="both"/>
        <w:rPr>
          <w:rFonts w:hint="eastAsia" w:ascii="宋体" w:hAnsi="宋体" w:cs="宋体"/>
          <w:color w:val="000000"/>
          <w:sz w:val="28"/>
          <w:szCs w:val="28"/>
        </w:rPr>
      </w:pPr>
      <w:r>
        <w:rPr>
          <w:rFonts w:hint="eastAsia" w:ascii="宋体" w:hAnsi="宋体" w:cs="宋体"/>
          <w:sz w:val="28"/>
          <w:szCs w:val="28"/>
        </w:rPr>
        <w:t xml:space="preserve">实验一 </w:t>
      </w:r>
      <w:r>
        <w:rPr>
          <w:rFonts w:hint="eastAsia" w:ascii="宋体" w:hAnsi="宋体" w:cs="宋体"/>
          <w:color w:val="000000"/>
          <w:sz w:val="28"/>
          <w:szCs w:val="28"/>
        </w:rPr>
        <w:t>微量滴定法测定血糖含量</w:t>
      </w:r>
    </w:p>
    <w:p w14:paraId="3515031C">
      <w:pPr>
        <w:keepNext w:val="0"/>
        <w:keepLines w:val="0"/>
        <w:pageBreakBefore w:val="0"/>
        <w:kinsoku/>
        <w:wordWrap/>
        <w:overflowPunct/>
        <w:topLinePunct w:val="0"/>
        <w:bidi w:val="0"/>
        <w:snapToGrid w:val="0"/>
        <w:spacing w:line="560" w:lineRule="exact"/>
        <w:ind w:firstLine="420"/>
        <w:jc w:val="both"/>
        <w:rPr>
          <w:rFonts w:hint="eastAsia" w:ascii="宋体" w:hAnsi="宋体" w:cs="宋体"/>
          <w:color w:val="000000"/>
          <w:sz w:val="28"/>
          <w:szCs w:val="28"/>
        </w:rPr>
      </w:pPr>
      <w:r>
        <w:rPr>
          <w:rFonts w:hint="eastAsia" w:ascii="宋体" w:hAnsi="宋体" w:cs="宋体"/>
          <w:color w:val="000000"/>
          <w:sz w:val="28"/>
          <w:szCs w:val="28"/>
        </w:rPr>
        <w:t>实验二 索氏提取法测定粗脂肪</w:t>
      </w:r>
    </w:p>
    <w:p w14:paraId="200D3B29">
      <w:pPr>
        <w:keepNext w:val="0"/>
        <w:keepLines w:val="0"/>
        <w:pageBreakBefore w:val="0"/>
        <w:kinsoku/>
        <w:wordWrap/>
        <w:overflowPunct/>
        <w:topLinePunct w:val="0"/>
        <w:bidi w:val="0"/>
        <w:snapToGrid w:val="0"/>
        <w:spacing w:line="560" w:lineRule="exact"/>
        <w:ind w:firstLine="420"/>
        <w:jc w:val="both"/>
        <w:rPr>
          <w:rFonts w:hint="eastAsia" w:ascii="宋体" w:hAnsi="宋体" w:cs="宋体"/>
          <w:color w:val="000000"/>
          <w:sz w:val="28"/>
          <w:szCs w:val="28"/>
        </w:rPr>
      </w:pPr>
      <w:r>
        <w:rPr>
          <w:rFonts w:hint="eastAsia" w:ascii="宋体" w:hAnsi="宋体" w:cs="宋体"/>
          <w:color w:val="000000"/>
          <w:sz w:val="28"/>
          <w:szCs w:val="28"/>
        </w:rPr>
        <w:t>实验三 氨基酸的分离鉴定-纸层析法</w:t>
      </w:r>
    </w:p>
    <w:p w14:paraId="59E1BC6D">
      <w:pPr>
        <w:keepNext w:val="0"/>
        <w:keepLines w:val="0"/>
        <w:pageBreakBefore w:val="0"/>
        <w:kinsoku/>
        <w:wordWrap/>
        <w:overflowPunct/>
        <w:topLinePunct w:val="0"/>
        <w:bidi w:val="0"/>
        <w:snapToGrid w:val="0"/>
        <w:spacing w:line="560" w:lineRule="exact"/>
        <w:ind w:firstLine="420"/>
        <w:jc w:val="both"/>
        <w:rPr>
          <w:rFonts w:hint="eastAsia" w:ascii="宋体" w:hAnsi="宋体" w:cs="宋体"/>
          <w:color w:val="000000"/>
          <w:sz w:val="28"/>
          <w:szCs w:val="28"/>
        </w:rPr>
      </w:pPr>
      <w:r>
        <w:rPr>
          <w:rFonts w:hint="eastAsia" w:ascii="宋体" w:hAnsi="宋体" w:cs="宋体"/>
          <w:color w:val="000000"/>
          <w:sz w:val="28"/>
          <w:szCs w:val="28"/>
        </w:rPr>
        <w:t>实验四 血清蛋白醋酸纤维薄膜电泳</w:t>
      </w:r>
    </w:p>
    <w:p w14:paraId="1FC7045C">
      <w:pPr>
        <w:keepNext w:val="0"/>
        <w:keepLines w:val="0"/>
        <w:pageBreakBefore w:val="0"/>
        <w:kinsoku/>
        <w:wordWrap/>
        <w:overflowPunct/>
        <w:topLinePunct w:val="0"/>
        <w:bidi w:val="0"/>
        <w:snapToGrid w:val="0"/>
        <w:spacing w:line="560" w:lineRule="exact"/>
        <w:ind w:firstLine="420"/>
        <w:jc w:val="both"/>
        <w:rPr>
          <w:rFonts w:hint="eastAsia" w:ascii="宋体" w:hAnsi="宋体" w:cs="宋体"/>
          <w:color w:val="000000"/>
          <w:sz w:val="28"/>
          <w:szCs w:val="28"/>
        </w:rPr>
      </w:pPr>
      <w:r>
        <w:rPr>
          <w:rFonts w:hint="eastAsia" w:ascii="宋体" w:hAnsi="宋体" w:cs="宋体"/>
          <w:color w:val="000000"/>
          <w:sz w:val="28"/>
          <w:szCs w:val="28"/>
        </w:rPr>
        <w:t>实验五 蛋白质的浓度测定-Bradford法</w:t>
      </w:r>
    </w:p>
    <w:p w14:paraId="4F988F69">
      <w:pPr>
        <w:keepNext w:val="0"/>
        <w:keepLines w:val="0"/>
        <w:pageBreakBefore w:val="0"/>
        <w:kinsoku/>
        <w:wordWrap/>
        <w:overflowPunct/>
        <w:topLinePunct w:val="0"/>
        <w:bidi w:val="0"/>
        <w:snapToGrid w:val="0"/>
        <w:spacing w:line="560" w:lineRule="exact"/>
        <w:ind w:firstLine="420"/>
        <w:jc w:val="both"/>
        <w:rPr>
          <w:rFonts w:hint="eastAsia" w:ascii="宋体" w:hAnsi="宋体" w:cs="宋体"/>
          <w:color w:val="000000"/>
          <w:sz w:val="28"/>
          <w:szCs w:val="28"/>
        </w:rPr>
      </w:pPr>
      <w:r>
        <w:rPr>
          <w:rFonts w:hint="eastAsia" w:ascii="宋体" w:hAnsi="宋体" w:cs="宋体"/>
          <w:sz w:val="28"/>
          <w:szCs w:val="28"/>
        </w:rPr>
        <w:t xml:space="preserve">实验六 </w:t>
      </w:r>
      <w:r>
        <w:rPr>
          <w:rFonts w:hint="eastAsia" w:ascii="宋体" w:hAnsi="宋体" w:cs="宋体"/>
          <w:color w:val="000000"/>
          <w:sz w:val="28"/>
          <w:szCs w:val="28"/>
        </w:rPr>
        <w:t>核酸的紫外扫描及含量测定</w:t>
      </w:r>
    </w:p>
    <w:p w14:paraId="6EC65C43">
      <w:pPr>
        <w:keepNext w:val="0"/>
        <w:keepLines w:val="0"/>
        <w:pageBreakBefore w:val="0"/>
        <w:kinsoku/>
        <w:wordWrap/>
        <w:overflowPunct/>
        <w:topLinePunct w:val="0"/>
        <w:bidi w:val="0"/>
        <w:snapToGrid w:val="0"/>
        <w:spacing w:line="560" w:lineRule="exact"/>
        <w:ind w:firstLine="420"/>
        <w:jc w:val="both"/>
        <w:rPr>
          <w:rFonts w:hint="eastAsia" w:ascii="宋体" w:hAnsi="宋体" w:cs="宋体"/>
          <w:sz w:val="28"/>
          <w:szCs w:val="28"/>
        </w:rPr>
      </w:pPr>
      <w:r>
        <w:rPr>
          <w:rFonts w:hint="eastAsia" w:ascii="宋体" w:hAnsi="宋体" w:cs="宋体"/>
          <w:sz w:val="28"/>
          <w:szCs w:val="28"/>
        </w:rPr>
        <w:t>实验七 酶的提取，酶促反应进程曲线的制作，酶活力测定，米氏常数的测定，SDS-PAGE电泳法检测</w:t>
      </w:r>
    </w:p>
    <w:p w14:paraId="3D25C8A3">
      <w:pPr>
        <w:keepNext w:val="0"/>
        <w:keepLines w:val="0"/>
        <w:pageBreakBefore w:val="0"/>
        <w:kinsoku/>
        <w:wordWrap/>
        <w:overflowPunct/>
        <w:topLinePunct w:val="0"/>
        <w:bidi w:val="0"/>
        <w:snapToGrid w:val="0"/>
        <w:spacing w:line="560" w:lineRule="exact"/>
        <w:jc w:val="both"/>
        <w:rPr>
          <w:rFonts w:hint="eastAsia" w:ascii="宋体" w:hAnsi="宋体" w:cs="宋体"/>
          <w:b/>
          <w:bCs/>
          <w:sz w:val="28"/>
          <w:szCs w:val="28"/>
        </w:rPr>
      </w:pPr>
      <w:r>
        <w:rPr>
          <w:rFonts w:hint="eastAsia" w:ascii="宋体" w:hAnsi="宋体" w:cs="宋体"/>
          <w:b/>
          <w:bCs/>
          <w:sz w:val="28"/>
          <w:szCs w:val="28"/>
        </w:rPr>
        <w:t>考试要求：</w:t>
      </w:r>
    </w:p>
    <w:p w14:paraId="7B1F3835">
      <w:pPr>
        <w:keepNext w:val="0"/>
        <w:keepLines w:val="0"/>
        <w:pageBreakBefore w:val="0"/>
        <w:kinsoku/>
        <w:wordWrap/>
        <w:overflowPunct/>
        <w:topLinePunct w:val="0"/>
        <w:bidi w:val="0"/>
        <w:snapToGrid w:val="0"/>
        <w:spacing w:line="560" w:lineRule="exact"/>
        <w:ind w:firstLine="420"/>
        <w:jc w:val="both"/>
        <w:rPr>
          <w:rFonts w:hint="eastAsia" w:ascii="宋体" w:hAnsi="宋体" w:cs="宋体"/>
          <w:sz w:val="28"/>
          <w:szCs w:val="28"/>
        </w:rPr>
      </w:pPr>
      <w:r>
        <w:rPr>
          <w:rFonts w:hint="eastAsia" w:ascii="宋体" w:hAnsi="宋体" w:cs="宋体"/>
          <w:sz w:val="28"/>
          <w:szCs w:val="28"/>
        </w:rPr>
        <w:t>掌握实验操作、仪器的使用方法；</w:t>
      </w:r>
    </w:p>
    <w:p w14:paraId="2DF92C2E">
      <w:pPr>
        <w:keepNext w:val="0"/>
        <w:keepLines w:val="0"/>
        <w:pageBreakBefore w:val="0"/>
        <w:kinsoku/>
        <w:wordWrap/>
        <w:overflowPunct/>
        <w:topLinePunct w:val="0"/>
        <w:bidi w:val="0"/>
        <w:snapToGrid w:val="0"/>
        <w:spacing w:line="560" w:lineRule="exact"/>
        <w:ind w:firstLine="420"/>
        <w:jc w:val="both"/>
        <w:rPr>
          <w:rFonts w:hint="eastAsia" w:ascii="宋体" w:hAnsi="宋体" w:cs="宋体"/>
          <w:sz w:val="28"/>
          <w:szCs w:val="28"/>
        </w:rPr>
      </w:pPr>
      <w:r>
        <w:rPr>
          <w:rFonts w:hint="eastAsia" w:ascii="宋体" w:hAnsi="宋体" w:cs="宋体"/>
          <w:sz w:val="28"/>
          <w:szCs w:val="28"/>
        </w:rPr>
        <w:t>熟悉实验原理、计算方法。</w:t>
      </w:r>
    </w:p>
    <w:p w14:paraId="424255E2">
      <w:pPr>
        <w:keepNext w:val="0"/>
        <w:keepLines w:val="0"/>
        <w:pageBreakBefore w:val="0"/>
        <w:kinsoku/>
        <w:wordWrap/>
        <w:overflowPunct/>
        <w:topLinePunct w:val="0"/>
        <w:bidi w:val="0"/>
        <w:snapToGrid w:val="0"/>
        <w:spacing w:line="560" w:lineRule="exact"/>
        <w:jc w:val="both"/>
        <w:rPr>
          <w:szCs w:val="21"/>
        </w:rPr>
      </w:pPr>
    </w:p>
    <w:p w14:paraId="0B367A5C">
      <w:pPr>
        <w:pStyle w:val="9"/>
        <w:keepNext w:val="0"/>
        <w:keepLines w:val="0"/>
        <w:pageBreakBefore w:val="0"/>
        <w:kinsoku/>
        <w:wordWrap/>
        <w:overflowPunct/>
        <w:topLinePunct w:val="0"/>
        <w:bidi w:val="0"/>
        <w:spacing w:before="0" w:beforeAutospacing="0" w:after="0" w:afterAutospacing="0" w:line="560" w:lineRule="exact"/>
        <w:jc w:val="both"/>
        <w:rPr>
          <w:szCs w:val="21"/>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3B005">
    <w:pPr>
      <w:pStyle w:val="7"/>
      <w:framePr w:wrap="around" w:vAnchor="text" w:hAnchor="margin" w:xAlign="right" w:y="1"/>
      <w:rPr>
        <w:rStyle w:val="12"/>
      </w:rPr>
    </w:pPr>
    <w:r>
      <w:fldChar w:fldCharType="begin"/>
    </w:r>
    <w:r>
      <w:rPr>
        <w:rStyle w:val="12"/>
      </w:rPr>
      <w:instrText xml:space="preserve">PAGE  </w:instrText>
    </w:r>
    <w:r>
      <w:fldChar w:fldCharType="separate"/>
    </w:r>
    <w:r>
      <w:rPr>
        <w:rStyle w:val="12"/>
        <w:lang/>
      </w:rPr>
      <w:t>1</w:t>
    </w:r>
    <w:r>
      <w:fldChar w:fldCharType="end"/>
    </w:r>
  </w:p>
  <w:p w14:paraId="503AD15E">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4B353">
    <w:pPr>
      <w:pStyle w:val="7"/>
      <w:framePr w:wrap="around" w:vAnchor="text" w:hAnchor="margin" w:xAlign="right" w:y="1"/>
      <w:rPr>
        <w:rStyle w:val="12"/>
      </w:rPr>
    </w:pPr>
    <w:r>
      <w:fldChar w:fldCharType="begin"/>
    </w:r>
    <w:r>
      <w:rPr>
        <w:rStyle w:val="12"/>
      </w:rPr>
      <w:instrText xml:space="preserve">PAGE  </w:instrText>
    </w:r>
    <w:r>
      <w:fldChar w:fldCharType="separate"/>
    </w:r>
    <w:r>
      <w:rPr>
        <w:rStyle w:val="12"/>
        <w:lang/>
      </w:rPr>
      <w:t>1</w:t>
    </w:r>
    <w:r>
      <w:fldChar w:fldCharType="end"/>
    </w:r>
  </w:p>
  <w:p w14:paraId="4190DDD3">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NWQ5MTQ4MDEzMDM1ODNhOThhNjU3OGI0N2UwYTEifQ=="/>
    <w:docVar w:name="OutStyle" w:val="&lt;KingyeeWXW&gt;&lt;OutStyle OutStyleID=&quot;&quot;&gt;&lt;CiteStyle Type=&quot;&quot; NumedType=&quot;&quot; SortType=&quot;&quot; StartNumber=&quot;&quot;/&gt;&lt;BiblStyle SortType=&quot;&quot; LayoutTempl=&quot;&quot; AbType=&quot;&quot; Title=&quot;&quot; AbCharCount=&quot;&quot;/&gt;&lt;CiteTempl Template=&quot;&quot; Positions=&quot;&quot; Is2Year=&quot;&quot; Startstr=&quot;&quot; EndStr=&quot;&quot; Separator=&quot;&quot;/&gt;&lt;BiblTempls&gt;&lt;/BiblTempls&gt;&lt;/OutStyle&gt;&lt;/KingyeeWXW&gt;_x000d__x000a_"/>
  </w:docVars>
  <w:rsids>
    <w:rsidRoot w:val="00A91501"/>
    <w:rsid w:val="000E786E"/>
    <w:rsid w:val="00136713"/>
    <w:rsid w:val="00147B07"/>
    <w:rsid w:val="00162F57"/>
    <w:rsid w:val="00187724"/>
    <w:rsid w:val="00207A2F"/>
    <w:rsid w:val="002446E0"/>
    <w:rsid w:val="00266AF6"/>
    <w:rsid w:val="002A7833"/>
    <w:rsid w:val="00356B65"/>
    <w:rsid w:val="0038297A"/>
    <w:rsid w:val="00394845"/>
    <w:rsid w:val="003B3CDE"/>
    <w:rsid w:val="004D49A6"/>
    <w:rsid w:val="004D5A4D"/>
    <w:rsid w:val="004D7A05"/>
    <w:rsid w:val="004E4C97"/>
    <w:rsid w:val="004F407A"/>
    <w:rsid w:val="00554CFD"/>
    <w:rsid w:val="005A1CB1"/>
    <w:rsid w:val="005A31E2"/>
    <w:rsid w:val="008D7D07"/>
    <w:rsid w:val="00922F6A"/>
    <w:rsid w:val="00966400"/>
    <w:rsid w:val="00A21519"/>
    <w:rsid w:val="00A259A5"/>
    <w:rsid w:val="00A91501"/>
    <w:rsid w:val="00BB5855"/>
    <w:rsid w:val="00C03586"/>
    <w:rsid w:val="00C34024"/>
    <w:rsid w:val="00C423E2"/>
    <w:rsid w:val="00C5340B"/>
    <w:rsid w:val="00C64779"/>
    <w:rsid w:val="00CC1B70"/>
    <w:rsid w:val="00CC64E6"/>
    <w:rsid w:val="00D33267"/>
    <w:rsid w:val="00E01983"/>
    <w:rsid w:val="00E640FA"/>
    <w:rsid w:val="00E722D1"/>
    <w:rsid w:val="00F24812"/>
    <w:rsid w:val="00FC5BED"/>
    <w:rsid w:val="00FE41ED"/>
    <w:rsid w:val="00FF7018"/>
    <w:rsid w:val="0E7543D5"/>
    <w:rsid w:val="18516171"/>
    <w:rsid w:val="1A9D41BA"/>
    <w:rsid w:val="1EB571B7"/>
    <w:rsid w:val="24D84241"/>
    <w:rsid w:val="2CBD7F08"/>
    <w:rsid w:val="369E2833"/>
    <w:rsid w:val="4B8D0681"/>
    <w:rsid w:val="50453030"/>
    <w:rsid w:val="63AA4EA5"/>
    <w:rsid w:val="649643D4"/>
    <w:rsid w:val="68770863"/>
    <w:rsid w:val="71F672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szCs w:val="20"/>
    </w:rPr>
  </w:style>
  <w:style w:type="paragraph" w:styleId="3">
    <w:name w:val="heading 2"/>
    <w:basedOn w:val="1"/>
    <w:next w:val="1"/>
    <w:qFormat/>
    <w:uiPriority w:val="0"/>
    <w:pPr>
      <w:keepNext/>
      <w:keepLines/>
      <w:snapToGrid w:val="0"/>
      <w:spacing w:before="240" w:after="240" w:line="336" w:lineRule="auto"/>
      <w:jc w:val="center"/>
      <w:outlineLvl w:val="1"/>
    </w:pPr>
    <w:rPr>
      <w:rFonts w:ascii="Arial" w:hAnsi="Arial" w:eastAsia="黑体"/>
      <w:bCs/>
      <w:sz w:val="36"/>
      <w:szCs w:val="32"/>
    </w:rPr>
  </w:style>
  <w:style w:type="paragraph" w:styleId="4">
    <w:name w:val="heading 3"/>
    <w:basedOn w:val="1"/>
    <w:next w:val="5"/>
    <w:qFormat/>
    <w:uiPriority w:val="0"/>
    <w:pPr>
      <w:keepNext/>
      <w:keepLines/>
      <w:snapToGrid w:val="0"/>
      <w:spacing w:line="288" w:lineRule="auto"/>
      <w:outlineLvl w:val="2"/>
    </w:pPr>
    <w:rPr>
      <w:b/>
      <w:sz w:val="24"/>
      <w:szCs w:val="20"/>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5">
    <w:name w:val="Normal Indent"/>
    <w:basedOn w:val="1"/>
    <w:uiPriority w:val="0"/>
    <w:pPr>
      <w:ind w:firstLine="420"/>
    </w:pPr>
    <w:rPr>
      <w:szCs w:val="20"/>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hAnsi="宋体" w:cs="宋体"/>
      <w:kern w:val="0"/>
      <w:sz w:val="24"/>
    </w:rPr>
  </w:style>
  <w:style w:type="character" w:styleId="12">
    <w:name w:val="page number"/>
    <w:uiPriority w:val="0"/>
  </w:style>
  <w:style w:type="character" w:styleId="13">
    <w:name w:val="Hyperlink"/>
    <w:uiPriority w:val="0"/>
    <w:rPr>
      <w:color w:val="000000"/>
      <w:u w:val="single"/>
    </w:rPr>
  </w:style>
  <w:style w:type="character" w:customStyle="1" w:styleId="14">
    <w:name w:val="页眉 字符"/>
    <w:link w:val="8"/>
    <w:uiPriority w:val="0"/>
    <w:rPr>
      <w:kern w:val="2"/>
      <w:sz w:val="18"/>
      <w:szCs w:val="18"/>
    </w:rPr>
  </w:style>
  <w:style w:type="paragraph" w:customStyle="1" w:styleId="15">
    <w:name w:val="Normal"/>
    <w:uiPriority w:val="0"/>
    <w:pPr>
      <w:widowControl w:val="0"/>
      <w:adjustRightInd w:val="0"/>
      <w:spacing w:line="360" w:lineRule="atLeast"/>
    </w:pPr>
    <w:rPr>
      <w:rFonts w:ascii="宋体"/>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雨薇在线</Company>
  <Pages>5</Pages>
  <Words>2020</Words>
  <Characters>2132</Characters>
  <Lines>15</Lines>
  <Paragraphs>4</Paragraphs>
  <TotalTime>0</TotalTime>
  <ScaleCrop>false</ScaleCrop>
  <LinksUpToDate>false</LinksUpToDate>
  <CharactersWithSpaces>2163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2020-09-11T00:40:00Z</dcterms:created>
  <dc:creator>xnch</dc:creator>
  <cp:lastModifiedBy>vertesyuan</cp:lastModifiedBy>
  <cp:lastPrinted>2017-10-16T01:58:00Z</cp:lastPrinted>
  <dcterms:modified xsi:type="dcterms:W3CDTF">2024-11-18T11:03:19Z</dcterms:modified>
  <dc:title>《生物化学》教学大纲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9D78E2D589364D21AAE0816E53FA302C_13</vt:lpwstr>
  </property>
</Properties>
</file>