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808"/>
        <w:spacing w:before="181" w:line="219" w:lineRule="auto"/>
        <w:outlineLvl w:val="0"/>
        <w:rPr>
          <w:sz w:val="28"/>
          <w:szCs w:val="28"/>
        </w:rPr>
      </w:pPr>
      <w:r>
        <w:rPr>
          <w:sz w:val="28"/>
          <w:szCs w:val="28"/>
          <w:b/>
          <w:bCs/>
          <w:color w:val="231F20"/>
          <w:spacing w:val="-3"/>
        </w:rPr>
        <w:t>武汉轻工大学硕士研究生入学《公共管理学》考试大纲</w:t>
      </w:r>
    </w:p>
    <w:p>
      <w:pPr>
        <w:pStyle w:val="BodyText"/>
        <w:ind w:left="3123"/>
        <w:spacing w:before="291" w:line="219" w:lineRule="auto"/>
        <w:outlineLvl w:val="0"/>
        <w:rPr>
          <w:sz w:val="28"/>
          <w:szCs w:val="28"/>
        </w:rPr>
      </w:pPr>
      <w:r>
        <w:rPr>
          <w:sz w:val="28"/>
          <w:szCs w:val="28"/>
          <w:b/>
          <w:bCs/>
          <w:color w:val="231F20"/>
          <w:spacing w:val="-3"/>
        </w:rPr>
        <w:t>科目代码（</w:t>
      </w:r>
      <w:r>
        <w:rPr>
          <w:rFonts w:ascii="Times New Roman" w:hAnsi="Times New Roman" w:eastAsia="Times New Roman" w:cs="Times New Roman"/>
          <w:sz w:val="28"/>
          <w:szCs w:val="28"/>
          <w:b/>
          <w:bCs/>
          <w:color w:val="231F20"/>
          <w:spacing w:val="-3"/>
        </w:rPr>
        <w:t>709</w:t>
      </w:r>
      <w:r>
        <w:rPr>
          <w:sz w:val="28"/>
          <w:szCs w:val="28"/>
          <w:b/>
          <w:bCs/>
          <w:color w:val="231F20"/>
          <w:spacing w:val="-3"/>
        </w:rPr>
        <w:t>）</w:t>
      </w:r>
    </w:p>
    <w:p>
      <w:pPr>
        <w:spacing w:line="386" w:lineRule="auto"/>
        <w:rPr>
          <w:rFonts w:ascii="Arial"/>
          <w:sz w:val="21"/>
        </w:rPr>
      </w:pPr>
      <w:r/>
    </w:p>
    <w:p>
      <w:pPr>
        <w:pStyle w:val="BodyText"/>
        <w:ind w:left="3093"/>
        <w:spacing w:before="78" w:line="220" w:lineRule="auto"/>
        <w:outlineLvl w:val="0"/>
        <w:rPr>
          <w:sz w:val="24"/>
          <w:szCs w:val="24"/>
        </w:rPr>
      </w:pPr>
      <w:r>
        <w:rPr>
          <w:sz w:val="24"/>
          <w:szCs w:val="24"/>
          <w:b/>
          <w:bCs/>
          <w:color w:val="231F20"/>
          <w:spacing w:val="-3"/>
        </w:rPr>
        <w:t>第一部分</w:t>
      </w:r>
      <w:r>
        <w:rPr>
          <w:sz w:val="24"/>
          <w:szCs w:val="24"/>
          <w:color w:val="231F20"/>
          <w:spacing w:val="-3"/>
        </w:rPr>
        <w:t xml:space="preserve">  </w:t>
      </w:r>
      <w:r>
        <w:rPr>
          <w:sz w:val="24"/>
          <w:szCs w:val="24"/>
          <w:b/>
          <w:bCs/>
          <w:color w:val="231F20"/>
          <w:spacing w:val="-3"/>
        </w:rPr>
        <w:t>考试说明</w:t>
      </w:r>
    </w:p>
    <w:p>
      <w:pPr>
        <w:pStyle w:val="BodyText"/>
        <w:ind w:left="445"/>
        <w:spacing w:before="118" w:line="228" w:lineRule="auto"/>
        <w:outlineLvl w:val="1"/>
        <w:rPr/>
      </w:pPr>
      <w:r>
        <w:rPr>
          <w:b/>
          <w:bCs/>
          <w:color w:val="231F20"/>
          <w:spacing w:val="6"/>
        </w:rPr>
        <w:t>一、考试性质</w:t>
      </w:r>
    </w:p>
    <w:p>
      <w:pPr>
        <w:pStyle w:val="BodyText"/>
        <w:ind w:left="21" w:right="14" w:firstLine="427"/>
        <w:spacing w:before="223" w:line="424" w:lineRule="auto"/>
        <w:jc w:val="both"/>
        <w:rPr/>
      </w:pPr>
      <w:r>
        <w:rPr>
          <w:color w:val="231F20"/>
          <w:spacing w:val="7"/>
        </w:rPr>
        <w:t>公共管理学是我校公共管理硕士研究生初试考察的专业课程之一。考试目标是考察考生</w:t>
      </w:r>
      <w:r>
        <w:rPr>
          <w:color w:val="231F20"/>
          <w:spacing w:val="2"/>
        </w:rPr>
        <w:t xml:space="preserve"> </w:t>
      </w:r>
      <w:r>
        <w:rPr>
          <w:color w:val="231F20"/>
          <w:spacing w:val="7"/>
        </w:rPr>
        <w:t>对公共管理理论与实践的发展，公共管理主体、公共管理职能与过程、公共管理的绩效、公</w:t>
      </w:r>
      <w:r>
        <w:rPr>
          <w:color w:val="231F20"/>
          <w:spacing w:val="15"/>
        </w:rPr>
        <w:t xml:space="preserve"> </w:t>
      </w:r>
      <w:r>
        <w:rPr>
          <w:color w:val="231F20"/>
          <w:spacing w:val="7"/>
        </w:rPr>
        <w:t>共管理的责任与监控、公共物品管理、公共管理的新策略等方面知识的掌握情况以及实际运</w:t>
      </w:r>
      <w:r>
        <w:rPr>
          <w:color w:val="231F20"/>
          <w:spacing w:val="15"/>
        </w:rPr>
        <w:t xml:space="preserve"> </w:t>
      </w:r>
      <w:r>
        <w:rPr>
          <w:color w:val="231F20"/>
          <w:spacing w:val="9"/>
        </w:rPr>
        <w:t>用能力，为学科发展挑选具有公共管理基本视野和研究能</w:t>
      </w:r>
      <w:r>
        <w:rPr>
          <w:color w:val="231F20"/>
          <w:spacing w:val="8"/>
        </w:rPr>
        <w:t>力的专业人才。</w:t>
      </w:r>
    </w:p>
    <w:p>
      <w:pPr>
        <w:spacing w:line="432" w:lineRule="auto"/>
        <w:rPr>
          <w:rFonts w:ascii="Arial"/>
          <w:sz w:val="21"/>
        </w:rPr>
      </w:pPr>
      <w:r/>
    </w:p>
    <w:p>
      <w:pPr>
        <w:pStyle w:val="BodyText"/>
        <w:ind w:left="445"/>
        <w:spacing w:before="66" w:line="228" w:lineRule="auto"/>
        <w:outlineLvl w:val="1"/>
        <w:rPr/>
      </w:pPr>
      <w:r>
        <w:rPr>
          <w:b/>
          <w:bCs/>
          <w:color w:val="231F20"/>
          <w:spacing w:val="7"/>
        </w:rPr>
        <w:t>二、考试形式与试卷</w:t>
      </w:r>
    </w:p>
    <w:p>
      <w:pPr>
        <w:pStyle w:val="BodyText"/>
        <w:ind w:left="452"/>
        <w:spacing w:before="221" w:line="229" w:lineRule="auto"/>
        <w:rPr/>
      </w:pPr>
      <w:r>
        <w:rPr>
          <w:color w:val="231F20"/>
          <w:spacing w:val="3"/>
        </w:rPr>
        <w:t>（一）答卷方式：</w:t>
      </w:r>
      <w:r>
        <w:rPr>
          <w:color w:val="231F20"/>
          <w:spacing w:val="-38"/>
        </w:rPr>
        <w:t xml:space="preserve"> </w:t>
      </w:r>
      <w:r>
        <w:rPr>
          <w:color w:val="231F20"/>
          <w:spacing w:val="3"/>
        </w:rPr>
        <w:t>闭卷、笔试</w:t>
      </w:r>
    </w:p>
    <w:p>
      <w:pPr>
        <w:pStyle w:val="BodyText"/>
        <w:ind w:left="452"/>
        <w:spacing w:before="219" w:line="229" w:lineRule="auto"/>
        <w:rPr/>
      </w:pPr>
      <w:r>
        <w:rPr>
          <w:color w:val="231F20"/>
          <w:spacing w:val="3"/>
        </w:rPr>
        <w:t>（二）答题时间：</w:t>
      </w:r>
      <w:r>
        <w:rPr>
          <w:color w:val="231F20"/>
          <w:spacing w:val="-47"/>
        </w:rPr>
        <w:t xml:space="preserve"> </w:t>
      </w:r>
      <w:r>
        <w:rPr>
          <w:rFonts w:ascii="Times New Roman" w:hAnsi="Times New Roman" w:eastAsia="Times New Roman" w:cs="Times New Roman"/>
          <w:color w:val="231F20"/>
          <w:spacing w:val="3"/>
        </w:rPr>
        <w:t>180 </w:t>
      </w:r>
      <w:r>
        <w:rPr>
          <w:color w:val="231F20"/>
          <w:spacing w:val="3"/>
        </w:rPr>
        <w:t>分钟</w:t>
      </w:r>
    </w:p>
    <w:p>
      <w:pPr>
        <w:pStyle w:val="BodyText"/>
        <w:ind w:left="452"/>
        <w:spacing w:before="221" w:line="228" w:lineRule="auto"/>
        <w:rPr/>
      </w:pPr>
      <w:r>
        <w:rPr>
          <w:color w:val="231F20"/>
          <w:spacing w:val="6"/>
        </w:rPr>
        <w:t>（三）试卷分数及题型</w:t>
      </w:r>
    </w:p>
    <w:p>
      <w:pPr>
        <w:pStyle w:val="BodyText"/>
        <w:ind w:left="968"/>
        <w:spacing w:before="221" w:line="227" w:lineRule="auto"/>
        <w:rPr/>
      </w:pPr>
      <w:r>
        <w:rPr>
          <w:color w:val="231F20"/>
          <w:spacing w:val="7"/>
        </w:rPr>
        <w:t>满分</w:t>
      </w:r>
      <w:r>
        <w:rPr>
          <w:color w:val="231F20"/>
          <w:spacing w:val="-11"/>
        </w:rPr>
        <w:t xml:space="preserve"> </w:t>
      </w:r>
      <w:r>
        <w:rPr>
          <w:rFonts w:ascii="Times New Roman" w:hAnsi="Times New Roman" w:eastAsia="Times New Roman" w:cs="Times New Roman"/>
          <w:color w:val="231F20"/>
          <w:spacing w:val="7"/>
        </w:rPr>
        <w:t>150 </w:t>
      </w:r>
      <w:r>
        <w:rPr>
          <w:color w:val="231F20"/>
          <w:spacing w:val="7"/>
        </w:rPr>
        <w:t>分，名词解释、简答题、案例分析、论述题等。</w:t>
      </w:r>
    </w:p>
    <w:p>
      <w:pPr>
        <w:spacing w:line="296" w:lineRule="auto"/>
        <w:rPr>
          <w:rFonts w:ascii="Arial"/>
          <w:sz w:val="21"/>
        </w:rPr>
      </w:pPr>
      <w:r/>
    </w:p>
    <w:p>
      <w:pPr>
        <w:spacing w:line="297" w:lineRule="auto"/>
        <w:rPr>
          <w:rFonts w:ascii="Arial"/>
          <w:sz w:val="21"/>
        </w:rPr>
      </w:pPr>
      <w:r/>
    </w:p>
    <w:p>
      <w:pPr>
        <w:pStyle w:val="BodyText"/>
        <w:ind w:left="3093"/>
        <w:spacing w:before="78" w:line="220" w:lineRule="auto"/>
        <w:outlineLvl w:val="0"/>
        <w:rPr>
          <w:sz w:val="24"/>
          <w:szCs w:val="24"/>
        </w:rPr>
      </w:pPr>
      <w:r>
        <w:rPr>
          <w:sz w:val="24"/>
          <w:szCs w:val="24"/>
          <w:b/>
          <w:bCs/>
          <w:color w:val="231F20"/>
          <w:spacing w:val="-3"/>
        </w:rPr>
        <w:t>第二部分</w:t>
      </w:r>
      <w:r>
        <w:rPr>
          <w:sz w:val="24"/>
          <w:szCs w:val="24"/>
          <w:color w:val="231F20"/>
          <w:spacing w:val="-3"/>
        </w:rPr>
        <w:t xml:space="preserve">  </w:t>
      </w:r>
      <w:r>
        <w:rPr>
          <w:sz w:val="24"/>
          <w:szCs w:val="24"/>
          <w:b/>
          <w:bCs/>
          <w:color w:val="231F20"/>
          <w:spacing w:val="-3"/>
        </w:rPr>
        <w:t>考察要点</w:t>
      </w:r>
    </w:p>
    <w:p>
      <w:pPr>
        <w:pStyle w:val="BodyText"/>
        <w:ind w:left="448"/>
        <w:spacing w:before="197" w:line="227" w:lineRule="auto"/>
        <w:outlineLvl w:val="2"/>
        <w:rPr/>
      </w:pPr>
      <w:r>
        <w:rPr>
          <w:rFonts w:ascii="Times New Roman" w:hAnsi="Times New Roman" w:eastAsia="Times New Roman" w:cs="Times New Roman"/>
          <w:b/>
          <w:bCs/>
          <w:color w:val="231F20"/>
          <w:spacing w:val="5"/>
        </w:rPr>
        <w:t>1.  </w:t>
      </w:r>
      <w:r>
        <w:rPr>
          <w:b/>
          <w:bCs/>
          <w:color w:val="231F20"/>
          <w:spacing w:val="5"/>
        </w:rPr>
        <w:t>公共管理学科性质</w:t>
      </w:r>
    </w:p>
    <w:p>
      <w:pPr>
        <w:pStyle w:val="BodyText"/>
        <w:ind w:left="26" w:right="14" w:firstLine="422"/>
        <w:spacing w:before="222" w:line="417" w:lineRule="auto"/>
        <w:rPr/>
      </w:pPr>
      <w:r>
        <w:rPr>
          <w:color w:val="231F20"/>
          <w:spacing w:val="7"/>
        </w:rPr>
        <w:t>公共管理的本质，公共管理何以成为当代全球关注的重要问题，公共行政与公共管理模</w:t>
      </w:r>
      <w:r>
        <w:rPr>
          <w:color w:val="231F20"/>
          <w:spacing w:val="2"/>
        </w:rPr>
        <w:t xml:space="preserve"> </w:t>
      </w:r>
      <w:r>
        <w:rPr>
          <w:color w:val="231F20"/>
          <w:spacing w:val="8"/>
        </w:rPr>
        <w:t>式的比较分析，公共管理的研究范围。</w:t>
      </w:r>
    </w:p>
    <w:p>
      <w:pPr>
        <w:pStyle w:val="BodyText"/>
        <w:ind w:left="439"/>
        <w:spacing w:before="33" w:line="228" w:lineRule="auto"/>
        <w:outlineLvl w:val="2"/>
        <w:rPr/>
      </w:pPr>
      <w:r>
        <w:rPr>
          <w:rFonts w:ascii="Times New Roman" w:hAnsi="Times New Roman" w:eastAsia="Times New Roman" w:cs="Times New Roman"/>
          <w:b/>
          <w:bCs/>
          <w:color w:val="231F20"/>
          <w:spacing w:val="6"/>
        </w:rPr>
        <w:t>2.  </w:t>
      </w:r>
      <w:r>
        <w:rPr>
          <w:b/>
          <w:bCs/>
          <w:color w:val="231F20"/>
          <w:spacing w:val="6"/>
        </w:rPr>
        <w:t>公共管理发展历程</w:t>
      </w:r>
    </w:p>
    <w:p>
      <w:pPr>
        <w:pStyle w:val="BodyText"/>
        <w:ind w:left="24" w:right="15" w:firstLine="423"/>
        <w:spacing w:before="221" w:line="417" w:lineRule="auto"/>
        <w:rPr/>
      </w:pPr>
      <w:r>
        <w:rPr>
          <w:color w:val="231F20"/>
          <w:spacing w:val="7"/>
        </w:rPr>
        <w:t>公共管理学的理论渊源，西方国家公共管理改革运动的实践，公共管理改革运动的价值</w:t>
      </w:r>
      <w:r>
        <w:rPr>
          <w:color w:val="231F20"/>
          <w:spacing w:val="2"/>
        </w:rPr>
        <w:t xml:space="preserve"> </w:t>
      </w:r>
      <w:r>
        <w:rPr>
          <w:color w:val="231F20"/>
          <w:spacing w:val="7"/>
        </w:rPr>
        <w:t>取向，公共管理的本质。</w:t>
      </w:r>
    </w:p>
    <w:p>
      <w:pPr>
        <w:pStyle w:val="BodyText"/>
        <w:ind w:left="437"/>
        <w:spacing w:before="32" w:line="228" w:lineRule="auto"/>
        <w:outlineLvl w:val="2"/>
        <w:rPr/>
      </w:pPr>
      <w:r>
        <w:rPr>
          <w:rFonts w:ascii="Times New Roman" w:hAnsi="Times New Roman" w:eastAsia="Times New Roman" w:cs="Times New Roman"/>
          <w:b/>
          <w:bCs/>
          <w:color w:val="231F20"/>
          <w:spacing w:val="6"/>
        </w:rPr>
        <w:t>3.  </w:t>
      </w:r>
      <w:r>
        <w:rPr>
          <w:b/>
          <w:bCs/>
          <w:color w:val="231F20"/>
          <w:spacing w:val="6"/>
        </w:rPr>
        <w:t>公共产品与外部效应</w:t>
      </w:r>
    </w:p>
    <w:p>
      <w:pPr>
        <w:pStyle w:val="BodyText"/>
        <w:ind w:left="448"/>
        <w:spacing w:before="221" w:line="228" w:lineRule="auto"/>
        <w:rPr/>
      </w:pPr>
      <w:r>
        <w:rPr>
          <w:color w:val="231F20"/>
          <w:spacing w:val="6"/>
        </w:rPr>
        <w:t>公共产品理论和外部效应理论。</w:t>
      </w:r>
    </w:p>
    <w:p>
      <w:pPr>
        <w:pStyle w:val="BodyText"/>
        <w:ind w:left="439"/>
        <w:spacing w:before="221" w:line="228" w:lineRule="auto"/>
        <w:outlineLvl w:val="2"/>
        <w:rPr/>
      </w:pPr>
      <w:r>
        <w:rPr>
          <w:rFonts w:ascii="Times New Roman" w:hAnsi="Times New Roman" w:eastAsia="Times New Roman" w:cs="Times New Roman"/>
          <w:b/>
          <w:bCs/>
          <w:color w:val="231F20"/>
          <w:spacing w:val="4"/>
        </w:rPr>
        <w:t>4.</w:t>
      </w:r>
      <w:r>
        <w:rPr>
          <w:rFonts w:ascii="Times New Roman" w:hAnsi="Times New Roman" w:eastAsia="Times New Roman" w:cs="Times New Roman"/>
          <w:b/>
          <w:bCs/>
          <w:color w:val="231F20"/>
          <w:spacing w:val="11"/>
        </w:rPr>
        <w:t xml:space="preserve">  </w:t>
      </w:r>
      <w:r>
        <w:rPr>
          <w:b/>
          <w:bCs/>
          <w:color w:val="231F20"/>
          <w:spacing w:val="4"/>
        </w:rPr>
        <w:t>公共管理主体</w:t>
      </w:r>
    </w:p>
    <w:p>
      <w:pPr>
        <w:pStyle w:val="BodyText"/>
        <w:ind w:left="26" w:right="15" w:firstLine="419"/>
        <w:spacing w:before="221" w:line="417" w:lineRule="auto"/>
        <w:rPr/>
      </w:pPr>
      <w:r>
        <w:rPr>
          <w:color w:val="231F20"/>
          <w:spacing w:val="7"/>
        </w:rPr>
        <w:t>非政府组织的含义与特征，非政府组织的作用，非政府组织的运行机制，正确处理政府</w:t>
      </w:r>
      <w:r>
        <w:rPr>
          <w:color w:val="231F20"/>
          <w:spacing w:val="5"/>
        </w:rPr>
        <w:t xml:space="preserve"> </w:t>
      </w:r>
      <w:r>
        <w:rPr>
          <w:color w:val="231F20"/>
          <w:spacing w:val="5"/>
        </w:rPr>
        <w:t>与非政府组织的关系。</w:t>
      </w:r>
    </w:p>
    <w:p>
      <w:pPr>
        <w:pStyle w:val="BodyText"/>
        <w:ind w:left="441"/>
        <w:spacing w:before="33" w:line="228" w:lineRule="auto"/>
        <w:outlineLvl w:val="2"/>
        <w:rPr/>
      </w:pPr>
      <w:r>
        <w:rPr>
          <w:rFonts w:ascii="Times New Roman" w:hAnsi="Times New Roman" w:eastAsia="Times New Roman" w:cs="Times New Roman"/>
          <w:b/>
          <w:bCs/>
          <w:color w:val="231F20"/>
          <w:spacing w:val="4"/>
        </w:rPr>
        <w:t>5.</w:t>
      </w:r>
      <w:r>
        <w:rPr>
          <w:rFonts w:ascii="Times New Roman" w:hAnsi="Times New Roman" w:eastAsia="Times New Roman" w:cs="Times New Roman"/>
          <w:b/>
          <w:bCs/>
          <w:color w:val="231F20"/>
          <w:spacing w:val="10"/>
        </w:rPr>
        <w:t xml:space="preserve">  </w:t>
      </w:r>
      <w:r>
        <w:rPr>
          <w:b/>
          <w:bCs/>
          <w:color w:val="231F20"/>
          <w:spacing w:val="4"/>
        </w:rPr>
        <w:t>公共管理职能</w:t>
      </w:r>
    </w:p>
    <w:p>
      <w:pPr>
        <w:pStyle w:val="BodyText"/>
        <w:ind w:right="15"/>
        <w:spacing w:before="221" w:line="227" w:lineRule="auto"/>
        <w:jc w:val="right"/>
        <w:rPr/>
      </w:pPr>
      <w:r>
        <w:rPr>
          <w:color w:val="231F20"/>
          <w:spacing w:val="7"/>
        </w:rPr>
        <w:t>公共管理职能的基本内涵，公共管理职能的程序性构成与任务性构成，前资本主义时期</w:t>
      </w:r>
    </w:p>
    <w:p>
      <w:pPr>
        <w:spacing w:line="227" w:lineRule="auto"/>
        <w:sectPr>
          <w:pgSz w:w="11905" w:h="16840"/>
          <w:pgMar w:top="1431" w:right="1785" w:bottom="0" w:left="1785" w:header="0" w:footer="0" w:gutter="0"/>
        </w:sectPr>
        <w:rPr/>
      </w:pPr>
    </w:p>
    <w:p>
      <w:pPr>
        <w:pStyle w:val="BodyText"/>
        <w:ind w:left="22" w:right="70" w:firstLine="6"/>
        <w:spacing w:before="137" w:line="422" w:lineRule="auto"/>
        <w:jc w:val="both"/>
        <w:rPr/>
      </w:pPr>
      <w:r>
        <w:rPr>
          <w:color w:val="231F20"/>
          <w:spacing w:val="7"/>
        </w:rPr>
        <w:t>公共管理职能的形成背景及特点，资本主义时期不同发展阶段公共管理职能的形成背景及其</w:t>
      </w:r>
      <w:r>
        <w:rPr>
          <w:color w:val="231F20"/>
          <w:spacing w:val="8"/>
        </w:rPr>
        <w:t xml:space="preserve"> </w:t>
      </w:r>
      <w:r>
        <w:rPr>
          <w:color w:val="231F20"/>
          <w:spacing w:val="7"/>
        </w:rPr>
        <w:t>特点，社会主义中国计划经济时期公共管理职能的特点及其在新时期的发展趋势，市场经济</w:t>
      </w:r>
      <w:r>
        <w:rPr>
          <w:color w:val="231F20"/>
          <w:spacing w:val="14"/>
        </w:rPr>
        <w:t xml:space="preserve"> </w:t>
      </w:r>
      <w:r>
        <w:rPr>
          <w:color w:val="231F20"/>
          <w:spacing w:val="9"/>
        </w:rPr>
        <w:t>条件下公共管理职能存在的依据，基本任务与运行限度。</w:t>
      </w:r>
    </w:p>
    <w:p>
      <w:pPr>
        <w:pStyle w:val="BodyText"/>
        <w:ind w:left="442"/>
        <w:spacing w:before="32" w:line="227" w:lineRule="auto"/>
        <w:outlineLvl w:val="2"/>
        <w:rPr/>
      </w:pPr>
      <w:r>
        <w:rPr>
          <w:rFonts w:ascii="Times New Roman" w:hAnsi="Times New Roman" w:eastAsia="Times New Roman" w:cs="Times New Roman"/>
          <w:b/>
          <w:bCs/>
          <w:color w:val="231F20"/>
          <w:spacing w:val="6"/>
        </w:rPr>
        <w:t>6.  </w:t>
      </w:r>
      <w:r>
        <w:rPr>
          <w:b/>
          <w:bCs/>
          <w:color w:val="231F20"/>
          <w:spacing w:val="6"/>
        </w:rPr>
        <w:t>公共管理中的政府角色</w:t>
      </w:r>
    </w:p>
    <w:p>
      <w:pPr>
        <w:pStyle w:val="BodyText"/>
        <w:spacing w:before="222" w:line="227" w:lineRule="auto"/>
        <w:jc w:val="right"/>
        <w:rPr/>
      </w:pPr>
      <w:r>
        <w:rPr>
          <w:color w:val="231F20"/>
          <w:spacing w:val="4"/>
        </w:rPr>
        <w:t>我国中央政府与地方政府的职权，政府与市场的区别，构建我</w:t>
      </w:r>
      <w:r>
        <w:rPr>
          <w:color w:val="231F20"/>
          <w:spacing w:val="3"/>
        </w:rPr>
        <w:t>国新型的政府与社会关系。</w:t>
      </w:r>
    </w:p>
    <w:p>
      <w:pPr>
        <w:pStyle w:val="BodyText"/>
        <w:ind w:left="441"/>
        <w:spacing w:before="221" w:line="228" w:lineRule="auto"/>
        <w:outlineLvl w:val="2"/>
        <w:rPr/>
      </w:pPr>
      <w:r>
        <w:rPr>
          <w:rFonts w:ascii="Times New Roman" w:hAnsi="Times New Roman" w:eastAsia="Times New Roman" w:cs="Times New Roman"/>
          <w:b/>
          <w:bCs/>
          <w:color w:val="231F20"/>
          <w:spacing w:val="4"/>
        </w:rPr>
        <w:t>7.</w:t>
      </w:r>
      <w:r>
        <w:rPr>
          <w:rFonts w:ascii="Times New Roman" w:hAnsi="Times New Roman" w:eastAsia="Times New Roman" w:cs="Times New Roman"/>
          <w:b/>
          <w:bCs/>
          <w:color w:val="231F20"/>
          <w:spacing w:val="10"/>
        </w:rPr>
        <w:t xml:space="preserve">  </w:t>
      </w:r>
      <w:r>
        <w:rPr>
          <w:b/>
          <w:bCs/>
          <w:color w:val="231F20"/>
          <w:spacing w:val="4"/>
        </w:rPr>
        <w:t>公共管理绩效</w:t>
      </w:r>
    </w:p>
    <w:p>
      <w:pPr>
        <w:pStyle w:val="BodyText"/>
        <w:ind w:left="24" w:right="70" w:firstLine="420"/>
        <w:spacing w:before="220" w:line="417" w:lineRule="auto"/>
        <w:rPr/>
      </w:pPr>
      <w:r>
        <w:rPr>
          <w:color w:val="231F20"/>
          <w:spacing w:val="7"/>
        </w:rPr>
        <w:t>绩效管理概述，公共部门绩效评估的方法，国外公共部门绩效评估的实践，中国的公共</w:t>
      </w:r>
      <w:r>
        <w:rPr>
          <w:color w:val="231F20"/>
          <w:spacing w:val="5"/>
        </w:rPr>
        <w:t xml:space="preserve"> </w:t>
      </w:r>
      <w:r>
        <w:rPr>
          <w:color w:val="231F20"/>
          <w:spacing w:val="6"/>
        </w:rPr>
        <w:t>部门绩效评估。</w:t>
      </w:r>
    </w:p>
    <w:p>
      <w:pPr>
        <w:pStyle w:val="BodyText"/>
        <w:ind w:left="441"/>
        <w:spacing w:before="33" w:line="228" w:lineRule="auto"/>
        <w:outlineLvl w:val="2"/>
        <w:rPr/>
      </w:pPr>
      <w:r>
        <w:rPr>
          <w:rFonts w:ascii="Times New Roman" w:hAnsi="Times New Roman" w:eastAsia="Times New Roman" w:cs="Times New Roman"/>
          <w:b/>
          <w:bCs/>
          <w:color w:val="231F20"/>
          <w:spacing w:val="6"/>
        </w:rPr>
        <w:t>8.  </w:t>
      </w:r>
      <w:r>
        <w:rPr>
          <w:b/>
          <w:bCs/>
          <w:color w:val="231F20"/>
          <w:spacing w:val="6"/>
        </w:rPr>
        <w:t>公共部门战略管理</w:t>
      </w:r>
    </w:p>
    <w:p>
      <w:pPr>
        <w:pStyle w:val="BodyText"/>
        <w:ind w:left="39" w:right="71" w:firstLine="412"/>
        <w:spacing w:before="222" w:line="417" w:lineRule="auto"/>
        <w:rPr/>
      </w:pPr>
      <w:r>
        <w:rPr>
          <w:color w:val="231F20"/>
          <w:spacing w:val="7"/>
        </w:rPr>
        <w:t>战略管理的发展、概念与特征，公共部门战略管理产生的原因，公共部门战略管理</w:t>
      </w:r>
      <w:r>
        <w:rPr>
          <w:color w:val="231F20"/>
          <w:spacing w:val="6"/>
        </w:rPr>
        <w:t>实施</w:t>
      </w:r>
      <w:r>
        <w:rPr>
          <w:color w:val="231F20"/>
        </w:rPr>
        <w:t xml:space="preserve"> </w:t>
      </w:r>
      <w:r>
        <w:rPr>
          <w:color w:val="231F20"/>
          <w:spacing w:val="7"/>
        </w:rPr>
        <w:t>的步骤，公共部门战略管理存在的问题及其改进。</w:t>
      </w:r>
    </w:p>
    <w:p>
      <w:pPr>
        <w:spacing w:line="432" w:lineRule="auto"/>
        <w:rPr>
          <w:rFonts w:ascii="Arial"/>
          <w:sz w:val="21"/>
        </w:rPr>
      </w:pPr>
      <w:r/>
    </w:p>
    <w:p>
      <w:pPr>
        <w:pStyle w:val="BodyText"/>
        <w:ind w:left="28"/>
        <w:spacing w:before="65" w:line="227" w:lineRule="auto"/>
        <w:rPr/>
      </w:pPr>
      <w:r>
        <w:rPr>
          <w:b/>
          <w:bCs/>
          <w:color w:val="231F20"/>
          <w:spacing w:val="4"/>
        </w:rPr>
        <w:t>复习参考书目：</w:t>
      </w:r>
    </w:p>
    <w:p>
      <w:pPr>
        <w:pStyle w:val="BodyText"/>
        <w:ind w:left="38"/>
        <w:spacing w:before="222" w:line="227" w:lineRule="auto"/>
        <w:rPr/>
      </w:pPr>
      <w:r>
        <w:rPr>
          <w:rFonts w:ascii="Times New Roman" w:hAnsi="Times New Roman" w:eastAsia="Times New Roman" w:cs="Times New Roman"/>
          <w:color w:val="231F20"/>
          <w:spacing w:val="1"/>
        </w:rPr>
        <w:t>1.  </w:t>
      </w:r>
      <w:r>
        <w:rPr>
          <w:color w:val="231F20"/>
          <w:spacing w:val="1"/>
        </w:rPr>
        <w:t>陈振明等著：《公共管理学》（第二版</w:t>
      </w:r>
      <w:r>
        <w:rPr>
          <w:color w:val="231F20"/>
          <w:spacing w:val="-38"/>
        </w:rPr>
        <w:t>），</w:t>
      </w:r>
      <w:r>
        <w:rPr>
          <w:color w:val="231F20"/>
          <w:spacing w:val="1"/>
        </w:rPr>
        <w:t>北京：</w:t>
      </w:r>
      <w:r>
        <w:rPr>
          <w:color w:val="231F20"/>
          <w:spacing w:val="-40"/>
        </w:rPr>
        <w:t xml:space="preserve"> </w:t>
      </w:r>
      <w:r>
        <w:rPr>
          <w:color w:val="231F20"/>
          <w:spacing w:val="1"/>
        </w:rPr>
        <w:t>中国</w:t>
      </w:r>
      <w:r>
        <w:rPr>
          <w:color w:val="231F20"/>
        </w:rPr>
        <w:t>人民大学出版社，</w:t>
      </w:r>
      <w:r>
        <w:rPr>
          <w:rFonts w:ascii="Times New Roman" w:hAnsi="Times New Roman" w:eastAsia="Times New Roman" w:cs="Times New Roman"/>
          <w:color w:val="231F20"/>
        </w:rPr>
        <w:t>2017</w:t>
      </w:r>
      <w:r>
        <w:rPr>
          <w:color w:val="231F20"/>
        </w:rPr>
        <w:t>。</w:t>
      </w:r>
    </w:p>
    <w:p>
      <w:pPr>
        <w:pStyle w:val="BodyText"/>
        <w:ind w:left="18"/>
        <w:spacing w:before="222" w:line="221" w:lineRule="auto"/>
        <w:rPr/>
      </w:pPr>
      <w:r>
        <w:rPr>
          <w:rFonts w:ascii="Times New Roman" w:hAnsi="Times New Roman" w:eastAsia="Times New Roman" w:cs="Times New Roman"/>
          <w:color w:val="231F20"/>
          <w:spacing w:val="-2"/>
        </w:rPr>
        <w:t>2.</w:t>
      </w:r>
      <w:r>
        <w:rPr>
          <w:rFonts w:ascii="Times New Roman" w:hAnsi="Times New Roman" w:eastAsia="Times New Roman" w:cs="Times New Roman"/>
          <w:color w:val="231F20"/>
          <w:spacing w:val="20"/>
        </w:rPr>
        <w:t xml:space="preserve"> </w:t>
      </w:r>
      <w:r>
        <w:rPr>
          <w:rFonts w:ascii="Times New Roman" w:hAnsi="Times New Roman" w:eastAsia="Times New Roman" w:cs="Times New Roman"/>
          <w:color w:val="231F20"/>
          <w:spacing w:val="-2"/>
        </w:rPr>
        <w:t>[</w:t>
      </w:r>
      <w:r>
        <w:rPr>
          <w:color w:val="231F20"/>
          <w:spacing w:val="-2"/>
        </w:rPr>
        <w:t>澳</w:t>
      </w:r>
      <w:r>
        <w:rPr>
          <w:rFonts w:ascii="Times New Roman" w:hAnsi="Times New Roman" w:eastAsia="Times New Roman" w:cs="Times New Roman"/>
          <w:color w:val="231F20"/>
          <w:spacing w:val="-2"/>
        </w:rPr>
        <w:t>]</w:t>
      </w:r>
      <w:r>
        <w:rPr>
          <w:color w:val="231F20"/>
          <w:spacing w:val="-2"/>
        </w:rPr>
        <w:t>欧文 ·</w:t>
      </w:r>
      <w:r>
        <w:rPr>
          <w:rFonts w:ascii="Times New Roman" w:hAnsi="Times New Roman" w:eastAsia="Times New Roman" w:cs="Times New Roman"/>
          <w:color w:val="231F20"/>
          <w:spacing w:val="-2"/>
        </w:rPr>
        <w:t>E</w:t>
      </w:r>
      <w:r>
        <w:rPr>
          <w:rFonts w:ascii="Times New Roman" w:hAnsi="Times New Roman" w:eastAsia="Times New Roman" w:cs="Times New Roman"/>
          <w:color w:val="231F20"/>
          <w:spacing w:val="31"/>
          <w:w w:val="101"/>
        </w:rPr>
        <w:t xml:space="preserve"> </w:t>
      </w:r>
      <w:r>
        <w:rPr>
          <w:color w:val="231F20"/>
          <w:spacing w:val="-2"/>
        </w:rPr>
        <w:t>·休斯：《公共管理导论》</w:t>
      </w:r>
      <w:r>
        <w:rPr>
          <w:color w:val="231F20"/>
          <w:spacing w:val="-3"/>
        </w:rPr>
        <w:t>（第四版</w:t>
      </w:r>
      <w:r>
        <w:rPr>
          <w:color w:val="231F20"/>
          <w:spacing w:val="-40"/>
        </w:rPr>
        <w:t>），</w:t>
      </w:r>
      <w:r>
        <w:rPr>
          <w:color w:val="231F20"/>
          <w:spacing w:val="-3"/>
        </w:rPr>
        <w:t>北京：</w:t>
      </w:r>
      <w:r>
        <w:rPr>
          <w:color w:val="231F20"/>
          <w:spacing w:val="-39"/>
        </w:rPr>
        <w:t xml:space="preserve"> </w:t>
      </w:r>
      <w:r>
        <w:rPr>
          <w:color w:val="231F20"/>
          <w:spacing w:val="-3"/>
        </w:rPr>
        <w:t>中国人民大学出版社，</w:t>
      </w:r>
      <w:r>
        <w:rPr>
          <w:rFonts w:ascii="Times New Roman" w:hAnsi="Times New Roman" w:eastAsia="Times New Roman" w:cs="Times New Roman"/>
          <w:color w:val="231F20"/>
          <w:spacing w:val="-3"/>
        </w:rPr>
        <w:t>2015</w:t>
      </w:r>
      <w:r>
        <w:rPr>
          <w:color w:val="231F20"/>
          <w:spacing w:val="-3"/>
        </w:rPr>
        <w:t>。</w:t>
      </w:r>
    </w:p>
    <w:sectPr>
      <w:pgSz w:w="11905" w:h="16840"/>
      <w:pgMar w:top="1431" w:right="1729"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2004年考研管理学大纲</dc:title>
  <dc:creator>w b</dc:creator>
  <dcterms:created xsi:type="dcterms:W3CDTF">2024-10-09T17:23:52Z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2024-11-16T10:35:53</vt:filetime>
  </property>
</Properties>
</file>