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17" w:right="535" w:hanging="1568"/>
        <w:spacing w:before="187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2025 年清华大学金融专业硕士研究生入学统一考试</w:t>
      </w:r>
      <w:r>
        <w:rPr>
          <w:sz w:val="31"/>
          <w:szCs w:val="31"/>
          <w:b/>
          <w:bCs/>
          <w:spacing w:val="16"/>
        </w:rPr>
        <w:t xml:space="preserve"> </w:t>
      </w:r>
      <w:r>
        <w:rPr>
          <w:sz w:val="31"/>
          <w:szCs w:val="31"/>
          <w:b/>
          <w:bCs/>
          <w:spacing w:val="8"/>
        </w:rPr>
        <w:t>431《金融学综合》命题大纲</w:t>
      </w:r>
    </w:p>
    <w:p>
      <w:pPr>
        <w:pStyle w:val="BodyText"/>
        <w:ind w:left="20"/>
        <w:spacing w:before="230" w:line="195" w:lineRule="auto"/>
        <w:outlineLvl w:val="0"/>
        <w:rPr/>
      </w:pPr>
      <w:r>
        <w:rPr>
          <w:b/>
          <w:bCs/>
          <w:spacing w:val="-1"/>
        </w:rPr>
        <w:t>一、考试性质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7" w:right="7" w:firstLine="414"/>
        <w:spacing w:before="90" w:line="414" w:lineRule="auto"/>
        <w:jc w:val="both"/>
        <w:rPr/>
      </w:pPr>
      <w:r>
        <w:rPr>
          <w:spacing w:val="-4"/>
        </w:rPr>
        <w:t>《金融学综合》是金融硕士（MOF）专业学位研究生入学统一考试的科目之一。《金融</w:t>
      </w:r>
      <w:r>
        <w:rPr>
          <w:spacing w:val="1"/>
        </w:rPr>
        <w:t xml:space="preserve"> </w:t>
      </w:r>
      <w:r>
        <w:rPr>
          <w:spacing w:val="-2"/>
        </w:rPr>
        <w:t>学综合》考试力求反映金融硕士专业学位的特点，科学、公平、</w:t>
      </w:r>
      <w:r>
        <w:rPr>
          <w:spacing w:val="-3"/>
        </w:rPr>
        <w:t>准确、规范地测评考生的基</w:t>
      </w:r>
      <w:r>
        <w:rPr/>
        <w:t xml:space="preserve"> </w:t>
      </w:r>
      <w:r>
        <w:rPr>
          <w:spacing w:val="-2"/>
        </w:rPr>
        <w:t>本素质和综合能力，选拔具有发展潜力的优秀人才入学，为国</w:t>
      </w:r>
      <w:r>
        <w:rPr>
          <w:spacing w:val="-3"/>
        </w:rPr>
        <w:t>家的经济建设培养具有良好职</w:t>
      </w:r>
      <w:r>
        <w:rPr/>
        <w:t xml:space="preserve"> </w:t>
      </w:r>
      <w:r>
        <w:rPr/>
        <w:t>业道德、具有较强分析与解决实际问题能力的高层次、应用型、复合型的金融专业人才。</w:t>
      </w:r>
    </w:p>
    <w:p>
      <w:pPr>
        <w:pStyle w:val="BodyText"/>
        <w:ind w:left="21"/>
        <w:spacing w:before="7" w:line="195" w:lineRule="auto"/>
        <w:outlineLvl w:val="0"/>
        <w:rPr/>
      </w:pPr>
      <w:r>
        <w:rPr>
          <w:b/>
          <w:bCs/>
          <w:spacing w:val="-1"/>
        </w:rPr>
        <w:t>二、考试要求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36"/>
        <w:spacing w:before="91" w:line="194" w:lineRule="auto"/>
        <w:rPr/>
      </w:pPr>
      <w:r>
        <w:rPr>
          <w:spacing w:val="-1"/>
        </w:rPr>
        <w:t>测试考生对于与金融学和公司财务相关的基本概念、基础理论的掌握和运用能力。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20"/>
        <w:spacing w:before="91" w:line="195" w:lineRule="auto"/>
        <w:outlineLvl w:val="0"/>
        <w:rPr/>
      </w:pPr>
      <w:r>
        <w:rPr>
          <w:b/>
          <w:bCs/>
          <w:spacing w:val="-1"/>
        </w:rPr>
        <w:t>三、考试内容</w:t>
      </w:r>
    </w:p>
    <w:p>
      <w:pPr>
        <w:pStyle w:val="BodyText"/>
        <w:ind w:left="3380"/>
        <w:spacing w:before="331" w:line="195" w:lineRule="auto"/>
        <w:rPr/>
      </w:pPr>
      <w:r>
        <w:rPr>
          <w:b/>
          <w:bCs/>
        </w:rPr>
        <w:t>第一部分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</w:rPr>
        <w:t>投资学</w:t>
      </w:r>
    </w:p>
    <w:p>
      <w:pPr>
        <w:pStyle w:val="BodyText"/>
        <w:ind w:left="33"/>
        <w:spacing w:before="331" w:line="195" w:lineRule="auto"/>
        <w:outlineLvl w:val="1"/>
        <w:rPr/>
      </w:pPr>
      <w:r>
        <w:rPr>
          <w:b/>
          <w:bCs/>
          <w:spacing w:val="-2"/>
        </w:rPr>
        <w:t>1、投资组合理论与投资组合管理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风险与收益的度量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7"/>
        </w:rPr>
        <w:t xml:space="preserve">      </w:t>
      </w:r>
      <w:r>
        <w:rPr>
          <w:spacing w:val="-2"/>
        </w:rPr>
        <w:t>风险厌恶与风险资产的资本配置</w:t>
      </w:r>
    </w:p>
    <w:p>
      <w:pPr>
        <w:pStyle w:val="BodyText"/>
        <w:ind w:left="454"/>
        <w:spacing w:before="332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优化风险投资组合与指数模型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积极的投资组合管理理论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投资组合业绩评估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0" w:line="195" w:lineRule="auto"/>
        <w:outlineLvl w:val="1"/>
        <w:rPr/>
      </w:pPr>
      <w:r>
        <w:rPr>
          <w:b/>
          <w:bCs/>
          <w:spacing w:val="-2"/>
        </w:rPr>
        <w:t>2、均衡资本市场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资本资产定价模型</w:t>
      </w:r>
    </w:p>
    <w:p>
      <w:pPr>
        <w:pStyle w:val="BodyText"/>
        <w:ind w:left="454"/>
        <w:spacing w:before="332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无套利定价理论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有效市场假说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0" w:lineRule="auto"/>
        <w:rPr/>
      </w:pPr>
      <w:r>
        <w:rPr>
          <w:rFonts w:ascii="Calibri" w:hAnsi="Calibri" w:eastAsia="Calibri" w:cs="Calibri"/>
          <w:spacing w:val="-2"/>
        </w:rPr>
        <w:t>•      </w:t>
      </w:r>
      <w:r>
        <w:rPr>
          <w:spacing w:val="-2"/>
        </w:rPr>
        <w:t>证券收益的实证分析（包括：CAPM</w:t>
      </w:r>
      <w:r>
        <w:rPr>
          <w:spacing w:val="-30"/>
        </w:rPr>
        <w:t xml:space="preserve"> </w:t>
      </w:r>
      <w:r>
        <w:rPr>
          <w:spacing w:val="-2"/>
        </w:rPr>
        <w:t>，APT</w:t>
      </w:r>
      <w:r>
        <w:rPr>
          <w:spacing w:val="-33"/>
        </w:rPr>
        <w:t xml:space="preserve"> </w:t>
      </w:r>
      <w:r>
        <w:rPr>
          <w:spacing w:val="-2"/>
        </w:rPr>
        <w:t>，</w:t>
      </w:r>
      <w:r>
        <w:rPr>
          <w:spacing w:val="-41"/>
        </w:rPr>
        <w:t xml:space="preserve"> </w:t>
      </w:r>
      <w:r>
        <w:rPr>
          <w:spacing w:val="-3"/>
        </w:rPr>
        <w:t>Fama-French  三因子模型）</w:t>
      </w:r>
    </w:p>
    <w:p>
      <w:pPr>
        <w:spacing w:line="19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/>
        <w:spacing w:before="233" w:line="194" w:lineRule="auto"/>
        <w:outlineLvl w:val="1"/>
        <w:rPr/>
      </w:pPr>
      <w:r>
        <w:rPr>
          <w:b/>
          <w:bCs/>
          <w:spacing w:val="-2"/>
        </w:rPr>
        <w:t>3、固定收益证券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债券的价格与收益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利率的期限结构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利率风险管理</w:t>
      </w:r>
    </w:p>
    <w:p>
      <w:pPr>
        <w:pStyle w:val="BodyText"/>
        <w:ind w:left="454"/>
        <w:spacing w:before="331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信用风险和信用衍生产品</w:t>
      </w:r>
    </w:p>
    <w:p>
      <w:pPr>
        <w:rPr>
          <w:rFonts w:ascii="Arial"/>
          <w:sz w:val="21"/>
        </w:rPr>
      </w:pPr>
      <w:r/>
    </w:p>
    <w:p>
      <w:pPr>
        <w:pStyle w:val="BodyText"/>
        <w:ind w:left="17"/>
        <w:spacing w:before="91" w:line="194" w:lineRule="auto"/>
        <w:outlineLvl w:val="1"/>
        <w:rPr/>
      </w:pPr>
      <w:r>
        <w:rPr>
          <w:b/>
          <w:bCs/>
          <w:spacing w:val="-1"/>
        </w:rPr>
        <w:t>4、期权、期货与其它衍生证券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期权定价理论和运用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4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4"/>
        </w:rPr>
        <w:t>期货和互换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期权、期货和互换市场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91" w:line="194" w:lineRule="auto"/>
        <w:outlineLvl w:val="1"/>
        <w:rPr/>
      </w:pPr>
      <w:r>
        <w:rPr>
          <w:b/>
          <w:bCs/>
          <w:spacing w:val="-2"/>
        </w:rPr>
        <w:t>5、金融中介、机构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资产市场类别与金融工具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证券交易和监管机制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0" w:lineRule="auto"/>
        <w:rPr/>
      </w:pPr>
      <w:r>
        <w:rPr>
          <w:rFonts w:ascii="Calibri" w:hAnsi="Calibri" w:eastAsia="Calibri" w:cs="Calibri"/>
        </w:rPr>
        <w:t>•      </w:t>
      </w:r>
      <w:r>
        <w:rPr/>
        <w:t>金融机构（包括：共同基金、投资公司、对冲基金）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275"/>
        <w:spacing w:before="90" w:line="195" w:lineRule="auto"/>
        <w:rPr/>
      </w:pPr>
      <w:r>
        <w:rPr>
          <w:b/>
          <w:bCs/>
          <w:spacing w:val="-1"/>
        </w:rPr>
        <w:t>第二部分</w:t>
      </w:r>
      <w:r>
        <w:rPr>
          <w:b/>
          <w:bCs/>
          <w:spacing w:val="51"/>
          <w:w w:val="101"/>
        </w:rPr>
        <w:t xml:space="preserve"> </w:t>
      </w:r>
      <w:r>
        <w:rPr>
          <w:b/>
          <w:bCs/>
          <w:spacing w:val="-1"/>
        </w:rPr>
        <w:t>公司财务</w:t>
      </w:r>
    </w:p>
    <w:p>
      <w:pPr>
        <w:pStyle w:val="BodyText"/>
        <w:ind w:left="33"/>
        <w:spacing w:before="331" w:line="195" w:lineRule="auto"/>
        <w:outlineLvl w:val="1"/>
        <w:rPr/>
      </w:pPr>
      <w:r>
        <w:rPr>
          <w:b/>
          <w:bCs/>
          <w:spacing w:val="-3"/>
        </w:rPr>
        <w:t>1、财务报表分析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4" w:lineRule="auto"/>
        <w:rPr/>
      </w:pPr>
      <w:r>
        <w:rPr>
          <w:rFonts w:ascii="Calibri" w:hAnsi="Calibri" w:eastAsia="Calibri" w:cs="Calibri"/>
          <w:spacing w:val="-4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4"/>
        </w:rPr>
        <w:t>会计报表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财务比率分析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194" w:lineRule="auto"/>
        <w:outlineLvl w:val="1"/>
        <w:rPr/>
      </w:pPr>
      <w:r>
        <w:rPr>
          <w:b/>
          <w:bCs/>
          <w:spacing w:val="-2"/>
        </w:rPr>
        <w:t>2、资本预算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现金流与折现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投资决策方法比较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7"/>
        </w:rPr>
        <w:t>•</w:t>
      </w:r>
      <w:r>
        <w:rPr>
          <w:rFonts w:ascii="Calibri" w:hAnsi="Calibri" w:eastAsia="Calibri" w:cs="Calibri"/>
          <w:spacing w:val="1"/>
        </w:rPr>
        <w:t xml:space="preserve">       </w:t>
      </w:r>
      <w:r>
        <w:rPr>
          <w:spacing w:val="-7"/>
        </w:rPr>
        <w:t>自由现金流</w:t>
      </w:r>
    </w:p>
    <w:p>
      <w:pPr>
        <w:pStyle w:val="BodyText"/>
        <w:ind w:left="454"/>
        <w:spacing w:before="331" w:line="194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项目净现值</w:t>
      </w:r>
    </w:p>
    <w:p>
      <w:pPr>
        <w:spacing w:line="19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/>
        <w:spacing w:before="234" w:line="195" w:lineRule="auto"/>
        <w:outlineLvl w:val="1"/>
        <w:rPr/>
      </w:pPr>
      <w:r>
        <w:rPr>
          <w:b/>
          <w:bCs/>
          <w:spacing w:val="-5"/>
        </w:rPr>
        <w:t>3、价值</w:t>
      </w:r>
    </w:p>
    <w:p>
      <w:pPr>
        <w:pStyle w:val="BodyText"/>
        <w:ind w:left="454"/>
        <w:spacing w:before="331" w:line="194" w:lineRule="auto"/>
        <w:rPr/>
      </w:pPr>
      <w:r>
        <w:rPr>
          <w:rFonts w:ascii="Calibri" w:hAnsi="Calibri" w:eastAsia="Calibri" w:cs="Calibri"/>
          <w:spacing w:val="-4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4"/>
        </w:rPr>
        <w:t>债券的估值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股票的估值</w:t>
      </w:r>
    </w:p>
    <w:p>
      <w:pPr>
        <w:pStyle w:val="BodyText"/>
        <w:ind w:left="17"/>
        <w:spacing w:before="330" w:line="195" w:lineRule="auto"/>
        <w:outlineLvl w:val="1"/>
        <w:rPr/>
      </w:pPr>
      <w:r>
        <w:rPr>
          <w:b/>
          <w:bCs/>
          <w:spacing w:val="-1"/>
        </w:rPr>
        <w:t>4、公司资本成本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股权成本与市场投资组合</w:t>
      </w:r>
    </w:p>
    <w:p>
      <w:pPr>
        <w:pStyle w:val="BodyText"/>
        <w:ind w:left="454"/>
        <w:spacing w:before="332" w:line="190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贝塔（b）的估计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4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4"/>
        </w:rPr>
        <w:t>债务成本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0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加权平均资本成本（WACC）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1" w:line="195" w:lineRule="auto"/>
        <w:outlineLvl w:val="1"/>
        <w:rPr/>
      </w:pPr>
      <w:r>
        <w:rPr>
          <w:b/>
          <w:bCs/>
          <w:spacing w:val="-2"/>
        </w:rPr>
        <w:t>5、资本结构与公司价值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7"/>
        </w:rPr>
        <w:t xml:space="preserve">      </w:t>
      </w:r>
      <w:r>
        <w:rPr>
          <w:spacing w:val="-2"/>
        </w:rPr>
        <w:t>完全市场中的资本结构与公司价值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课税、财务困境与资本结构</w:t>
      </w:r>
    </w:p>
    <w:p>
      <w:pPr>
        <w:rPr>
          <w:rFonts w:ascii="Arial"/>
          <w:sz w:val="21"/>
        </w:rPr>
      </w:pPr>
      <w:r/>
    </w:p>
    <w:p>
      <w:pPr>
        <w:pStyle w:val="BodyText"/>
        <w:ind w:left="2751"/>
        <w:spacing w:before="91" w:line="194" w:lineRule="auto"/>
        <w:rPr/>
      </w:pPr>
      <w:r>
        <w:rPr>
          <w:b/>
          <w:bCs/>
          <w:spacing w:val="-1"/>
        </w:rPr>
        <w:t>第三部分</w:t>
      </w:r>
      <w:r>
        <w:rPr>
          <w:b/>
          <w:bCs/>
          <w:spacing w:val="55"/>
          <w:w w:val="101"/>
        </w:rPr>
        <w:t xml:space="preserve"> </w:t>
      </w:r>
      <w:r>
        <w:rPr>
          <w:b/>
          <w:bCs/>
          <w:spacing w:val="-1"/>
        </w:rPr>
        <w:t>货币银行和国际金融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0" w:line="194" w:lineRule="auto"/>
        <w:outlineLvl w:val="1"/>
        <w:rPr/>
      </w:pPr>
      <w:r>
        <w:rPr>
          <w:b/>
          <w:bCs/>
          <w:spacing w:val="-2"/>
        </w:rPr>
        <w:t>1、商业银行以及其它金融机构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商业银行业务及其创新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7"/>
        </w:rPr>
        <w:t xml:space="preserve">      </w:t>
      </w:r>
      <w:r>
        <w:rPr>
          <w:spacing w:val="-3"/>
        </w:rPr>
        <w:t>商业银行的风险管理</w:t>
      </w:r>
    </w:p>
    <w:p>
      <w:pPr>
        <w:pStyle w:val="BodyText"/>
        <w:ind w:left="454"/>
        <w:spacing w:before="332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金融体系的构成和功能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各类金融机构的主要功能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金融创新及其影响</w:t>
      </w:r>
    </w:p>
    <w:p>
      <w:pPr>
        <w:pStyle w:val="BodyText"/>
        <w:ind w:left="25"/>
        <w:spacing w:before="331" w:line="194" w:lineRule="auto"/>
        <w:outlineLvl w:val="1"/>
        <w:rPr/>
      </w:pPr>
      <w:r>
        <w:rPr>
          <w:b/>
          <w:bCs/>
          <w:spacing w:val="-1"/>
        </w:rPr>
        <w:t>2、中央银行以及金融监管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2"/>
        </w:rPr>
        <w:t>•       </w:t>
      </w:r>
      <w:r>
        <w:rPr>
          <w:spacing w:val="-2"/>
        </w:rPr>
        <w:t>中央银行职能和业务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金融监管理论和金融监管措施</w:t>
      </w:r>
    </w:p>
    <w:p>
      <w:pPr>
        <w:pStyle w:val="BodyText"/>
        <w:ind w:left="454"/>
        <w:spacing w:before="331" w:line="196" w:lineRule="auto"/>
        <w:rPr/>
      </w:pPr>
      <w:r>
        <w:rPr>
          <w:rFonts w:ascii="Calibri" w:hAnsi="Calibri" w:eastAsia="Calibri" w:cs="Calibri"/>
          <w:spacing w:val="-7"/>
        </w:rPr>
        <w:t>•</w:t>
      </w:r>
      <w:r>
        <w:rPr>
          <w:rFonts w:ascii="Calibri" w:hAnsi="Calibri" w:eastAsia="Calibri" w:cs="Calibri"/>
          <w:spacing w:val="1"/>
        </w:rPr>
        <w:t xml:space="preserve">       </w:t>
      </w:r>
      <w:r>
        <w:rPr>
          <w:spacing w:val="-7"/>
        </w:rPr>
        <w:t>巴塞尔协议</w:t>
      </w:r>
    </w:p>
    <w:p>
      <w:pPr>
        <w:spacing w:line="19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/>
        <w:spacing w:before="233" w:line="195" w:lineRule="auto"/>
        <w:outlineLvl w:val="1"/>
        <w:rPr/>
      </w:pPr>
      <w:r>
        <w:rPr>
          <w:b/>
          <w:bCs/>
          <w:spacing w:val="-1"/>
        </w:rPr>
        <w:t>3、货币供求理论与货币政策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7"/>
        </w:rPr>
        <w:t xml:space="preserve">      </w:t>
      </w:r>
      <w:r>
        <w:rPr>
          <w:spacing w:val="-3"/>
        </w:rPr>
        <w:t>货币的供给需求理论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通货膨胀与通货紧缩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2"/>
        </w:rPr>
        <w:t>货币政策的目标和工具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2"/>
        </w:rPr>
        <w:t>货币政策操作和传导机制</w:t>
      </w:r>
    </w:p>
    <w:p>
      <w:pPr>
        <w:rPr>
          <w:rFonts w:ascii="Arial"/>
          <w:sz w:val="21"/>
        </w:rPr>
      </w:pPr>
      <w:r/>
    </w:p>
    <w:p>
      <w:pPr>
        <w:pStyle w:val="BodyText"/>
        <w:ind w:left="17"/>
        <w:spacing w:before="90" w:line="195" w:lineRule="auto"/>
        <w:outlineLvl w:val="1"/>
        <w:rPr/>
      </w:pPr>
      <w:r>
        <w:rPr>
          <w:b/>
          <w:bCs/>
        </w:rPr>
        <w:t>4、国际收支与国际资本流动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2"/>
        </w:rPr>
        <w:t>•       </w:t>
      </w:r>
      <w:r>
        <w:rPr>
          <w:spacing w:val="-2"/>
        </w:rPr>
        <w:t>国际收支平衡表和国际收支调节</w:t>
      </w:r>
    </w:p>
    <w:p>
      <w:pPr>
        <w:pStyle w:val="BodyText"/>
        <w:ind w:left="454"/>
        <w:spacing w:before="331" w:line="196" w:lineRule="auto"/>
        <w:rPr/>
      </w:pPr>
      <w:r>
        <w:rPr>
          <w:rFonts w:ascii="Calibri" w:hAnsi="Calibri" w:eastAsia="Calibri" w:cs="Calibri"/>
          <w:spacing w:val="-3"/>
        </w:rPr>
        <w:t>•       </w:t>
      </w:r>
      <w:r>
        <w:rPr>
          <w:spacing w:val="-3"/>
        </w:rPr>
        <w:t>国际储备</w:t>
      </w:r>
    </w:p>
    <w:p>
      <w:pPr>
        <w:pStyle w:val="BodyText"/>
        <w:ind w:left="454"/>
        <w:spacing w:before="330" w:line="195" w:lineRule="auto"/>
        <w:rPr/>
      </w:pPr>
      <w:r>
        <w:rPr>
          <w:rFonts w:ascii="Calibri" w:hAnsi="Calibri" w:eastAsia="Calibri" w:cs="Calibri"/>
          <w:spacing w:val="-3"/>
        </w:rPr>
        <w:t>•       </w:t>
      </w:r>
      <w:r>
        <w:rPr>
          <w:spacing w:val="-3"/>
        </w:rPr>
        <w:t>国际资本流动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       </w:t>
      </w:r>
      <w:r>
        <w:rPr>
          <w:spacing w:val="-3"/>
        </w:rPr>
        <w:t>国际货币体系</w:t>
      </w:r>
    </w:p>
    <w:p>
      <w:pPr>
        <w:pStyle w:val="BodyText"/>
        <w:ind w:left="32"/>
        <w:spacing w:before="331" w:line="195" w:lineRule="auto"/>
        <w:outlineLvl w:val="1"/>
        <w:rPr/>
      </w:pPr>
      <w:r>
        <w:rPr>
          <w:b/>
          <w:bCs/>
          <w:spacing w:val="-3"/>
        </w:rPr>
        <w:t>5、外汇与汇率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汇率与汇率制度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0" w:line="195" w:lineRule="auto"/>
        <w:rPr/>
      </w:pPr>
      <w:r>
        <w:rPr>
          <w:rFonts w:ascii="Calibri" w:hAnsi="Calibri" w:eastAsia="Calibri" w:cs="Calibri"/>
          <w:spacing w:val="-4"/>
        </w:rPr>
        <w:t>•</w:t>
      </w:r>
      <w:r>
        <w:rPr>
          <w:rFonts w:ascii="Calibri" w:hAnsi="Calibri" w:eastAsia="Calibri" w:cs="Calibri"/>
          <w:spacing w:val="8"/>
        </w:rPr>
        <w:t xml:space="preserve">      </w:t>
      </w:r>
      <w:r>
        <w:rPr>
          <w:spacing w:val="-4"/>
        </w:rPr>
        <w:t>币值、利率与汇率</w:t>
      </w:r>
    </w:p>
    <w:p>
      <w:pPr>
        <w:pStyle w:val="BodyText"/>
        <w:ind w:left="454"/>
        <w:spacing w:before="331" w:line="195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5"/>
        </w:rPr>
        <w:t xml:space="preserve">      </w:t>
      </w:r>
      <w:r>
        <w:rPr>
          <w:spacing w:val="-3"/>
        </w:rPr>
        <w:t>汇率决定理论</w:t>
      </w:r>
    </w:p>
    <w:p>
      <w:pPr>
        <w:rPr>
          <w:rFonts w:ascii="Arial"/>
          <w:sz w:val="21"/>
        </w:rPr>
      </w:pPr>
      <w:r/>
    </w:p>
    <w:p>
      <w:pPr>
        <w:pStyle w:val="BodyText"/>
        <w:ind w:left="25"/>
        <w:spacing w:before="90" w:line="195" w:lineRule="auto"/>
        <w:outlineLvl w:val="1"/>
        <w:rPr/>
      </w:pPr>
      <w:r>
        <w:rPr>
          <w:b/>
          <w:bCs/>
          <w:spacing w:val="-2"/>
        </w:rPr>
        <w:t>6、国际金融市场</w:t>
      </w:r>
    </w:p>
    <w:p>
      <w:pPr>
        <w:pStyle w:val="BodyText"/>
        <w:ind w:left="454"/>
        <w:spacing w:before="332" w:line="194" w:lineRule="auto"/>
        <w:rPr/>
      </w:pPr>
      <w:r>
        <w:rPr>
          <w:rFonts w:ascii="Calibri" w:hAnsi="Calibri" w:eastAsia="Calibri" w:cs="Calibri"/>
          <w:spacing w:val="-3"/>
        </w:rPr>
        <w:t>•</w:t>
      </w:r>
      <w:r>
        <w:rPr>
          <w:rFonts w:ascii="Calibri" w:hAnsi="Calibri" w:eastAsia="Calibri" w:cs="Calibri"/>
          <w:spacing w:val="6"/>
        </w:rPr>
        <w:t xml:space="preserve">      </w:t>
      </w:r>
      <w:r>
        <w:rPr>
          <w:spacing w:val="-3"/>
        </w:rPr>
        <w:t>外汇期货与期权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0" w:line="194" w:lineRule="auto"/>
        <w:rPr/>
      </w:pPr>
      <w:r>
        <w:rPr>
          <w:rFonts w:ascii="Calibri" w:hAnsi="Calibri" w:eastAsia="Calibri" w:cs="Calibri"/>
          <w:spacing w:val="-2"/>
        </w:rPr>
        <w:t>•</w:t>
      </w:r>
      <w:r>
        <w:rPr>
          <w:rFonts w:ascii="Calibri" w:hAnsi="Calibri" w:eastAsia="Calibri" w:cs="Calibri"/>
          <w:spacing w:val="8"/>
        </w:rPr>
        <w:t xml:space="preserve">      </w:t>
      </w:r>
      <w:r>
        <w:rPr>
          <w:spacing w:val="-2"/>
        </w:rPr>
        <w:t>货币互换，利率互换，远期利率协议</w:t>
      </w:r>
    </w:p>
    <w:p>
      <w:pPr>
        <w:rPr>
          <w:rFonts w:ascii="Arial"/>
          <w:sz w:val="21"/>
        </w:rPr>
      </w:pPr>
      <w:r/>
    </w:p>
    <w:p>
      <w:pPr>
        <w:pStyle w:val="BodyText"/>
        <w:ind w:left="454"/>
        <w:spacing w:before="91" w:line="195" w:lineRule="auto"/>
        <w:rPr/>
      </w:pPr>
      <w:r>
        <w:rPr>
          <w:rFonts w:ascii="Calibri" w:hAnsi="Calibri" w:eastAsia="Calibri" w:cs="Calibri"/>
          <w:spacing w:val="-3"/>
        </w:rPr>
        <w:t>•       </w:t>
      </w:r>
      <w:r>
        <w:rPr>
          <w:spacing w:val="-3"/>
        </w:rPr>
        <w:t>欧洲货币市场</w:t>
      </w:r>
    </w:p>
    <w:p>
      <w:pPr>
        <w:pStyle w:val="BodyText"/>
        <w:ind w:left="27"/>
        <w:spacing w:before="331" w:line="195" w:lineRule="auto"/>
        <w:outlineLvl w:val="0"/>
        <w:rPr/>
      </w:pPr>
      <w:r>
        <w:rPr>
          <w:b/>
          <w:bCs/>
          <w:spacing w:val="-2"/>
        </w:rPr>
        <w:t>四、考试方式与分值</w:t>
      </w:r>
    </w:p>
    <w:p>
      <w:pPr>
        <w:rPr>
          <w:rFonts w:ascii="Arial"/>
          <w:sz w:val="21"/>
        </w:rPr>
      </w:pPr>
      <w:r/>
    </w:p>
    <w:p>
      <w:pPr>
        <w:pStyle w:val="BodyText"/>
        <w:ind w:left="19" w:right="9" w:firstLine="524"/>
        <w:spacing w:before="90" w:line="413" w:lineRule="auto"/>
        <w:rPr/>
      </w:pPr>
      <w:r>
        <w:rPr/>
        <w:t>本科目满分  150</w:t>
      </w:r>
      <w:r>
        <w:rPr>
          <w:spacing w:val="47"/>
        </w:rPr>
        <w:t xml:space="preserve"> </w:t>
      </w:r>
      <w:r>
        <w:rPr/>
        <w:t>分，其中，投资学、公</w:t>
      </w:r>
      <w:r>
        <w:rPr>
          <w:spacing w:val="-1"/>
        </w:rPr>
        <w:t>司财务和货币银行部分各</w:t>
      </w:r>
      <w:r>
        <w:rPr>
          <w:spacing w:val="59"/>
        </w:rPr>
        <w:t xml:space="preserve"> </w:t>
      </w:r>
      <w:r>
        <w:rPr>
          <w:spacing w:val="-1"/>
        </w:rPr>
        <w:t>50</w:t>
      </w:r>
      <w:r>
        <w:rPr>
          <w:spacing w:val="47"/>
        </w:rPr>
        <w:t xml:space="preserve"> </w:t>
      </w:r>
      <w:r>
        <w:rPr>
          <w:spacing w:val="-1"/>
        </w:rPr>
        <w:t>分，由清华大</w:t>
      </w:r>
      <w:r>
        <w:rPr/>
        <w:t xml:space="preserve"> </w:t>
      </w:r>
      <w:r>
        <w:rPr>
          <w:spacing w:val="-2"/>
        </w:rPr>
        <w:t>学命题，全国统一考试。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semuser</dc:creator>
  <dcterms:created xsi:type="dcterms:W3CDTF">2024-10-10T09:33:25Z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2024-11-07T13:53:47</vt:filetime>
  </property>
</Properties>
</file>