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7AB27">
      <w:pPr>
        <w:jc w:val="center"/>
        <w:outlineLvl w:val="0"/>
        <w:rPr>
          <w:rFonts w:ascii="黑体" w:hAnsi="黑体" w:eastAsia="黑体"/>
          <w:sz w:val="28"/>
          <w:szCs w:val="48"/>
        </w:rPr>
      </w:pPr>
      <w:bookmarkStart w:id="0" w:name="_GoBack"/>
      <w:bookmarkEnd w:id="0"/>
      <w:r>
        <w:rPr>
          <w:rFonts w:hint="eastAsia" w:ascii="黑体" w:hAnsi="黑体" w:eastAsia="黑体"/>
          <w:sz w:val="28"/>
          <w:szCs w:val="48"/>
        </w:rPr>
        <w:t>科目代码：4</w:t>
      </w:r>
      <w:r>
        <w:rPr>
          <w:rFonts w:ascii="黑体" w:hAnsi="黑体" w:eastAsia="黑体"/>
          <w:sz w:val="28"/>
          <w:szCs w:val="48"/>
        </w:rPr>
        <w:t>31   科目名称：</w:t>
      </w:r>
      <w:r>
        <w:rPr>
          <w:rFonts w:hint="eastAsia" w:ascii="黑体" w:hAnsi="黑体" w:eastAsia="黑体"/>
          <w:sz w:val="28"/>
          <w:szCs w:val="48"/>
        </w:rPr>
        <w:t>金融学综合</w:t>
      </w:r>
    </w:p>
    <w:p w14:paraId="7D8134B7">
      <w:pPr>
        <w:spacing w:line="360" w:lineRule="auto"/>
        <w:rPr>
          <w:rFonts w:ascii="黑体" w:hAnsi="黑体" w:eastAsia="黑体"/>
          <w:sz w:val="24"/>
          <w:szCs w:val="24"/>
          <w:u w:val="single"/>
        </w:rPr>
      </w:pPr>
      <w:r>
        <w:rPr>
          <w:rFonts w:hint="eastAsia" w:ascii="黑体" w:hAnsi="黑体" w:eastAsia="黑体"/>
          <w:sz w:val="24"/>
          <w:szCs w:val="24"/>
          <w:u w:val="single"/>
        </w:rPr>
        <w:t>金融学</w:t>
      </w:r>
    </w:p>
    <w:p w14:paraId="23D3E061">
      <w:pPr>
        <w:rPr>
          <w:rFonts w:ascii="Times New Roman" w:hAnsi="Times New Roman" w:eastAsia="宋体" w:cs="Times New Roman"/>
          <w:b/>
          <w:sz w:val="22"/>
          <w:szCs w:val="24"/>
        </w:rPr>
      </w:pPr>
      <w:r>
        <w:rPr>
          <w:rFonts w:hint="eastAsia" w:ascii="Times New Roman" w:hAnsi="Times New Roman" w:eastAsia="宋体" w:cs="Times New Roman"/>
          <w:b/>
          <w:sz w:val="22"/>
          <w:szCs w:val="24"/>
        </w:rPr>
        <w:t>一、考试要求</w:t>
      </w:r>
    </w:p>
    <w:p w14:paraId="6FE9DF52">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金融学》主要考查考生对金融学相关理论的掌握程度，作为一门社会科学，它以宏观经济学和微观经济学为基础，要求学生掌握金融演变的基本原理和一般规律，具体主要考查考生运用历史唯物主义和辩证唯物主义的思想观和方法论，分析有关货币、信用、利率、银行等金融机构、金融市场运行、宏观金融调控等经济、金融现象及其发展变化规律的能力。</w:t>
      </w:r>
    </w:p>
    <w:p w14:paraId="443D7E64">
      <w:pPr>
        <w:numPr>
          <w:ilvl w:val="0"/>
          <w:numId w:val="1"/>
        </w:numPr>
        <w:rPr>
          <w:rFonts w:ascii="Times New Roman" w:hAnsi="Times New Roman" w:eastAsia="宋体" w:cs="Times New Roman"/>
          <w:b/>
          <w:sz w:val="22"/>
          <w:szCs w:val="24"/>
        </w:rPr>
      </w:pPr>
      <w:r>
        <w:rPr>
          <w:rFonts w:hint="eastAsia" w:ascii="Times New Roman" w:hAnsi="Times New Roman" w:eastAsia="宋体" w:cs="Times New Roman"/>
          <w:b/>
          <w:sz w:val="22"/>
          <w:szCs w:val="24"/>
        </w:rPr>
        <w:t>考试内容</w:t>
      </w:r>
    </w:p>
    <w:p w14:paraId="6FE391DC">
      <w:pPr>
        <w:ind w:firstLine="440" w:firstLineChars="200"/>
        <w:rPr>
          <w:rFonts w:ascii="Times New Roman" w:hAnsi="Times New Roman" w:eastAsia="宋体" w:cs="Times New Roman"/>
          <w:sz w:val="22"/>
          <w:szCs w:val="24"/>
        </w:rPr>
      </w:pPr>
      <w:r>
        <w:rPr>
          <w:rFonts w:ascii="Times New Roman" w:hAnsi="Times New Roman" w:eastAsia="宋体" w:cs="Times New Roman"/>
          <w:sz w:val="22"/>
          <w:szCs w:val="24"/>
        </w:rPr>
        <w:t>1</w:t>
      </w:r>
      <w:r>
        <w:rPr>
          <w:rFonts w:hint="eastAsia" w:ascii="Times New Roman" w:hAnsi="Times New Roman" w:eastAsia="宋体" w:cs="Times New Roman"/>
          <w:sz w:val="22"/>
          <w:szCs w:val="24"/>
        </w:rPr>
        <w:t>.货币与货币制度。货币的起源及演变形态，货币的五大职能，货币制度的含义，构成要素及演变历程。</w:t>
      </w:r>
    </w:p>
    <w:p w14:paraId="67156E82">
      <w:pPr>
        <w:ind w:firstLine="440" w:firstLineChars="200"/>
        <w:rPr>
          <w:rFonts w:ascii="Times New Roman" w:hAnsi="Times New Roman" w:eastAsia="宋体" w:cs="Times New Roman"/>
          <w:sz w:val="22"/>
          <w:szCs w:val="24"/>
        </w:rPr>
      </w:pPr>
      <w:r>
        <w:rPr>
          <w:rFonts w:ascii="Times New Roman" w:hAnsi="Times New Roman" w:eastAsia="宋体" w:cs="Times New Roman"/>
          <w:sz w:val="22"/>
          <w:szCs w:val="24"/>
        </w:rPr>
        <w:t>2.</w:t>
      </w:r>
      <w:r>
        <w:rPr>
          <w:rFonts w:hint="eastAsia" w:ascii="Times New Roman" w:hAnsi="Times New Roman" w:eastAsia="宋体" w:cs="Times New Roman"/>
          <w:sz w:val="22"/>
          <w:szCs w:val="24"/>
        </w:rPr>
        <w:t>利息与利率。理解利息的本质，利率的定义、分类及结构，利率的决定理论包括流动性偏好理论、可贷资金理论、马克思利率决定理论。</w:t>
      </w:r>
    </w:p>
    <w:p w14:paraId="4464919F">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3.金融体系概述。金融体系概念与构成，金融体系的功能，金融与非金融机构的分类。</w:t>
      </w:r>
    </w:p>
    <w:p w14:paraId="116F7FF4">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4</w:t>
      </w:r>
      <w:r>
        <w:rPr>
          <w:rFonts w:ascii="Times New Roman" w:hAnsi="Times New Roman" w:eastAsia="宋体" w:cs="Times New Roman"/>
          <w:sz w:val="22"/>
          <w:szCs w:val="24"/>
        </w:rPr>
        <w:t>.</w:t>
      </w:r>
      <w:r>
        <w:rPr>
          <w:rFonts w:hint="eastAsia" w:ascii="Times New Roman" w:hAnsi="Times New Roman" w:eastAsia="宋体" w:cs="Times New Roman"/>
          <w:sz w:val="22"/>
          <w:szCs w:val="24"/>
        </w:rPr>
        <w:t>金融市场。金融市场的概念、特征、构成和类型，金融市场融资方式比较，金融工具含义、特征与分类，基础及衍生金融工具的含义与类型，货币市场的概念、特点与构成，资本市场的概念、特点与构成，资本市场国际化的含义与衡量，主要国际资本市场的类型。</w:t>
      </w:r>
    </w:p>
    <w:p w14:paraId="342A541A">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5.商业银行与存款货币创造。商业银行的定义、组织形式与职能，商业银行的负债业务，商业银行的资产业务，商业银行的中间业务，商业银行的存款货币创造条件及基本原理，商业银行的经验与管理。</w:t>
      </w:r>
    </w:p>
    <w:p w14:paraId="630A2964">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6.中央银行。中央银行的性质、职能、基本任务与类型、中央银行的主要业务。</w:t>
      </w:r>
    </w:p>
    <w:p w14:paraId="6A4E76BD">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7.货币供求与均衡。货币需求与货币需求量的含义，传统货币数量论，凯恩斯货币需求理论，弗里德曼的货币需求理论，货币供给与货币供给量的含义，货币乘数的含义、公式和影响因素，货币均衡的含义与实现条件。</w:t>
      </w:r>
    </w:p>
    <w:p w14:paraId="1EB02677">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8.货币政策。货币政策的概念、特征与类型，货币政策调控框架与构成要素，货币政策的最终目标及货币政策目标之间的关系，常见的货币政策中介目标，一般性货币政策工具，凯恩斯学派与货币学派的货币政策传导机制理论，货币政策效应的影响因素及衡量。</w:t>
      </w:r>
    </w:p>
    <w:p w14:paraId="6E4ABF73">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9.通货膨胀和通货紧缩。通货膨胀的概念、分类与测量，通货膨胀的成因、危害与治理，通货紧缩的概念和标志，通货紧缩的成因、危害与治理。</w:t>
      </w:r>
    </w:p>
    <w:p w14:paraId="7C362114">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10.金融监管和金融发展。金融监管的定义、目标和原则，金融监管体系的含义与类型，金融发展与经济发展之间的关系，金融创新与经济发展之间的关系。</w:t>
      </w:r>
    </w:p>
    <w:p w14:paraId="0E882C68">
      <w:pPr>
        <w:rPr>
          <w:rFonts w:ascii="Times New Roman" w:hAnsi="Times New Roman" w:eastAsia="宋体" w:cs="Times New Roman"/>
          <w:b/>
          <w:sz w:val="22"/>
          <w:szCs w:val="24"/>
        </w:rPr>
      </w:pPr>
      <w:r>
        <w:rPr>
          <w:rFonts w:hint="eastAsia" w:ascii="Times New Roman" w:hAnsi="Times New Roman" w:eastAsia="宋体" w:cs="Times New Roman"/>
          <w:b/>
          <w:sz w:val="22"/>
          <w:szCs w:val="24"/>
        </w:rPr>
        <w:t>三、考试形式</w:t>
      </w:r>
    </w:p>
    <w:p w14:paraId="79B22802">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1.考试形式为闭卷、笔试；</w:t>
      </w:r>
    </w:p>
    <w:p w14:paraId="220FA84F">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2.考试时间为3小时</w:t>
      </w:r>
      <w:r>
        <w:rPr>
          <w:rFonts w:ascii="Times New Roman" w:hAnsi="Times New Roman" w:eastAsia="宋体" w:cs="Times New Roman"/>
          <w:sz w:val="22"/>
          <w:szCs w:val="24"/>
        </w:rPr>
        <w:t xml:space="preserve">，满分 </w:t>
      </w:r>
      <w:r>
        <w:rPr>
          <w:rFonts w:hint="eastAsia" w:ascii="Times New Roman" w:hAnsi="Times New Roman" w:eastAsia="宋体" w:cs="Times New Roman"/>
          <w:sz w:val="22"/>
          <w:szCs w:val="24"/>
        </w:rPr>
        <w:t>150</w:t>
      </w:r>
      <w:r>
        <w:rPr>
          <w:rFonts w:ascii="Times New Roman" w:hAnsi="Times New Roman" w:eastAsia="宋体" w:cs="Times New Roman"/>
          <w:sz w:val="22"/>
          <w:szCs w:val="24"/>
        </w:rPr>
        <w:t xml:space="preserve"> 分</w:t>
      </w:r>
      <w:r>
        <w:rPr>
          <w:rFonts w:hint="eastAsia" w:ascii="Times New Roman" w:hAnsi="Times New Roman" w:eastAsia="宋体" w:cs="Times New Roman"/>
          <w:sz w:val="22"/>
          <w:szCs w:val="24"/>
        </w:rPr>
        <w:t>（金融学、国际金融各75分）</w:t>
      </w:r>
      <w:r>
        <w:rPr>
          <w:rFonts w:ascii="Times New Roman" w:hAnsi="Times New Roman" w:eastAsia="宋体" w:cs="Times New Roman"/>
          <w:sz w:val="22"/>
          <w:szCs w:val="24"/>
        </w:rPr>
        <w:t>。</w:t>
      </w:r>
    </w:p>
    <w:p w14:paraId="71E1F735">
      <w:pPr>
        <w:rPr>
          <w:rFonts w:ascii="Times New Roman" w:hAnsi="Times New Roman" w:eastAsia="宋体" w:cs="Times New Roman"/>
          <w:b/>
          <w:sz w:val="22"/>
          <w:szCs w:val="24"/>
        </w:rPr>
      </w:pPr>
      <w:r>
        <w:rPr>
          <w:rFonts w:hint="eastAsia" w:ascii="Times New Roman" w:hAnsi="Times New Roman" w:eastAsia="宋体" w:cs="Times New Roman"/>
          <w:b/>
          <w:sz w:val="22"/>
          <w:szCs w:val="24"/>
        </w:rPr>
        <w:t>四、试卷结构</w:t>
      </w:r>
    </w:p>
    <w:p w14:paraId="7E6D1634">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1.简答题（45分）</w:t>
      </w:r>
    </w:p>
    <w:p w14:paraId="208A135C">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2.论述题（30分）</w:t>
      </w:r>
    </w:p>
    <w:p w14:paraId="502922E5">
      <w:pPr>
        <w:rPr>
          <w:rFonts w:ascii="Times New Roman" w:hAnsi="Times New Roman" w:eastAsia="宋体" w:cs="Times New Roman"/>
          <w:b/>
          <w:sz w:val="22"/>
          <w:szCs w:val="24"/>
        </w:rPr>
      </w:pPr>
      <w:r>
        <w:rPr>
          <w:rFonts w:hint="eastAsia" w:ascii="Times New Roman" w:hAnsi="Times New Roman" w:eastAsia="宋体" w:cs="Times New Roman"/>
          <w:b/>
          <w:sz w:val="22"/>
          <w:szCs w:val="24"/>
        </w:rPr>
        <w:t>五、参考书目</w:t>
      </w:r>
    </w:p>
    <w:p w14:paraId="031F1EF9">
      <w:pPr>
        <w:ind w:firstLine="440" w:firstLineChars="200"/>
        <w:rPr>
          <w:rFonts w:ascii="Times New Roman" w:hAnsi="Times New Roman" w:eastAsia="宋体" w:cs="Times New Roman"/>
          <w:sz w:val="22"/>
          <w:szCs w:val="24"/>
        </w:rPr>
      </w:pPr>
      <w:r>
        <w:rPr>
          <w:rFonts w:ascii="Times New Roman" w:hAnsi="Times New Roman" w:eastAsia="宋体" w:cs="Times New Roman"/>
          <w:sz w:val="22"/>
          <w:szCs w:val="24"/>
        </w:rPr>
        <w:t>《</w:t>
      </w:r>
      <w:r>
        <w:rPr>
          <w:rFonts w:hint="eastAsia" w:ascii="Times New Roman" w:hAnsi="Times New Roman" w:eastAsia="宋体" w:cs="Times New Roman"/>
          <w:sz w:val="22"/>
          <w:szCs w:val="24"/>
        </w:rPr>
        <w:t>金融学</w:t>
      </w:r>
      <w:r>
        <w:rPr>
          <w:rFonts w:ascii="Times New Roman" w:hAnsi="Times New Roman" w:eastAsia="宋体" w:cs="Times New Roman"/>
          <w:sz w:val="22"/>
          <w:szCs w:val="24"/>
        </w:rPr>
        <w:t>》</w:t>
      </w:r>
      <w:r>
        <w:rPr>
          <w:rFonts w:hint="eastAsia" w:ascii="Times New Roman" w:hAnsi="Times New Roman" w:eastAsia="宋体" w:cs="Times New Roman"/>
          <w:sz w:val="22"/>
          <w:szCs w:val="24"/>
        </w:rPr>
        <w:t>，张启文主编，中国农业</w:t>
      </w:r>
      <w:r>
        <w:rPr>
          <w:rFonts w:ascii="Times New Roman" w:hAnsi="Times New Roman" w:eastAsia="宋体" w:cs="Times New Roman"/>
          <w:sz w:val="22"/>
          <w:szCs w:val="24"/>
        </w:rPr>
        <w:t>出版社，20</w:t>
      </w:r>
      <w:r>
        <w:rPr>
          <w:rFonts w:hint="eastAsia" w:ascii="Times New Roman" w:hAnsi="Times New Roman" w:eastAsia="宋体" w:cs="Times New Roman"/>
          <w:sz w:val="22"/>
          <w:szCs w:val="24"/>
        </w:rPr>
        <w:t>20年</w:t>
      </w:r>
      <w:r>
        <w:rPr>
          <w:rFonts w:ascii="Times New Roman" w:hAnsi="Times New Roman" w:eastAsia="宋体" w:cs="Times New Roman"/>
          <w:sz w:val="22"/>
          <w:szCs w:val="24"/>
        </w:rPr>
        <w:t>第</w:t>
      </w:r>
      <w:r>
        <w:rPr>
          <w:rFonts w:hint="eastAsia" w:ascii="Times New Roman" w:hAnsi="Times New Roman" w:eastAsia="宋体" w:cs="Times New Roman"/>
          <w:sz w:val="22"/>
          <w:szCs w:val="24"/>
        </w:rPr>
        <w:t>一</w:t>
      </w:r>
      <w:r>
        <w:rPr>
          <w:rFonts w:ascii="Times New Roman" w:hAnsi="Times New Roman" w:eastAsia="宋体" w:cs="Times New Roman"/>
          <w:sz w:val="22"/>
          <w:szCs w:val="24"/>
        </w:rPr>
        <w:t>版</w:t>
      </w:r>
      <w:r>
        <w:rPr>
          <w:rFonts w:hint="eastAsia" w:ascii="Times New Roman" w:hAnsi="Times New Roman" w:eastAsia="宋体" w:cs="Times New Roman"/>
          <w:sz w:val="22"/>
          <w:szCs w:val="24"/>
        </w:rPr>
        <w:t>。ISBN 9787109264298</w:t>
      </w:r>
    </w:p>
    <w:p w14:paraId="22676EEE">
      <w:pPr>
        <w:rPr>
          <w:rFonts w:ascii="Times New Roman" w:hAnsi="Times New Roman" w:eastAsia="宋体" w:cs="Times New Roman"/>
          <w:sz w:val="22"/>
          <w:szCs w:val="24"/>
        </w:rPr>
      </w:pPr>
    </w:p>
    <w:p w14:paraId="3106857D">
      <w:pPr>
        <w:rPr>
          <w:rFonts w:ascii="黑体" w:hAnsi="黑体" w:eastAsia="黑体" w:cs="Times New Roman"/>
          <w:bCs/>
          <w:sz w:val="24"/>
          <w:szCs w:val="24"/>
          <w:u w:val="single"/>
        </w:rPr>
      </w:pPr>
      <w:r>
        <w:rPr>
          <w:rFonts w:hint="eastAsia" w:ascii="黑体" w:hAnsi="黑体" w:eastAsia="黑体" w:cs="Times New Roman"/>
          <w:bCs/>
          <w:sz w:val="24"/>
          <w:szCs w:val="24"/>
          <w:u w:val="single"/>
        </w:rPr>
        <w:t>国际金融</w:t>
      </w:r>
    </w:p>
    <w:p w14:paraId="63D42305">
      <w:pPr>
        <w:rPr>
          <w:rFonts w:ascii="Times New Roman" w:hAnsi="Times New Roman" w:eastAsia="宋体" w:cs="Times New Roman"/>
          <w:b/>
          <w:sz w:val="22"/>
          <w:szCs w:val="24"/>
        </w:rPr>
      </w:pPr>
      <w:r>
        <w:rPr>
          <w:rFonts w:hint="eastAsia" w:ascii="Times New Roman" w:hAnsi="Times New Roman" w:eastAsia="宋体" w:cs="Times New Roman"/>
          <w:b/>
          <w:sz w:val="22"/>
          <w:szCs w:val="24"/>
        </w:rPr>
        <w:t>一、考试要求</w:t>
      </w:r>
    </w:p>
    <w:p w14:paraId="130CA2DA">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国际金融是研究国际货币金融关系的一门经济类专业基础课程。要求学生能掌握国际间货币与资本活动的基本规律，理解大量金融信息的基本含义，重点掌握国际收支与国际储备、国际货币流通和国际资金融通方面的知识，并对国际货币制度与国际金融机构有基本的了解；进而能运用国际金融的基本原理和分析方法解释各种金融现象，理解国际金融政策，并能初步进行国际金融实务操作；使学生能把握当今国际金融发展的前沿走势，对国际金融的理论、政策和实务能有比较全面系统的理解，作为将来深入研究国际金融问题的基础。</w:t>
      </w:r>
    </w:p>
    <w:p w14:paraId="727A8A30">
      <w:pPr>
        <w:rPr>
          <w:rFonts w:ascii="Times New Roman" w:hAnsi="Times New Roman" w:eastAsia="宋体" w:cs="Times New Roman"/>
          <w:b/>
          <w:sz w:val="22"/>
          <w:szCs w:val="24"/>
        </w:rPr>
      </w:pPr>
      <w:r>
        <w:rPr>
          <w:rFonts w:hint="eastAsia" w:ascii="Times New Roman" w:hAnsi="Times New Roman" w:eastAsia="宋体" w:cs="Times New Roman"/>
          <w:b/>
          <w:sz w:val="22"/>
          <w:szCs w:val="24"/>
        </w:rPr>
        <w:t>二、考试内容</w:t>
      </w:r>
    </w:p>
    <w:p w14:paraId="5D211071">
      <w:pPr>
        <w:ind w:firstLine="440" w:firstLineChars="200"/>
        <w:rPr>
          <w:rFonts w:ascii="Times New Roman" w:hAnsi="Times New Roman" w:eastAsia="宋体" w:cs="Times New Roman"/>
          <w:sz w:val="22"/>
          <w:szCs w:val="24"/>
        </w:rPr>
      </w:pPr>
      <w:r>
        <w:rPr>
          <w:rFonts w:ascii="Times New Roman" w:hAnsi="Times New Roman" w:eastAsia="宋体" w:cs="Times New Roman"/>
          <w:sz w:val="22"/>
          <w:szCs w:val="24"/>
        </w:rPr>
        <w:t>1</w:t>
      </w:r>
      <w:r>
        <w:rPr>
          <w:rFonts w:hint="eastAsia" w:ascii="Times New Roman" w:hAnsi="Times New Roman" w:eastAsia="宋体" w:cs="Times New Roman"/>
          <w:sz w:val="22"/>
          <w:szCs w:val="24"/>
        </w:rPr>
        <w:t>.国际收支。国际收支的概念与特征，国际收支平衡表的标准构成及记录原理，国际收支状况的差额分析，国际收支失衡的原因和影响，国际收支失衡的调节措施。</w:t>
      </w:r>
    </w:p>
    <w:p w14:paraId="44EFB04F">
      <w:pPr>
        <w:ind w:firstLine="440" w:firstLineChars="200"/>
        <w:rPr>
          <w:rFonts w:ascii="Times New Roman" w:hAnsi="Times New Roman" w:eastAsia="宋体" w:cs="Times New Roman"/>
          <w:sz w:val="22"/>
          <w:szCs w:val="24"/>
        </w:rPr>
      </w:pPr>
      <w:r>
        <w:rPr>
          <w:rFonts w:ascii="Times New Roman" w:hAnsi="Times New Roman" w:eastAsia="宋体" w:cs="Times New Roman"/>
          <w:sz w:val="22"/>
          <w:szCs w:val="24"/>
        </w:rPr>
        <w:t>2.</w:t>
      </w:r>
      <w:r>
        <w:rPr>
          <w:rFonts w:hint="eastAsia" w:ascii="Times New Roman" w:hAnsi="Times New Roman" w:eastAsia="宋体" w:cs="Times New Roman"/>
          <w:sz w:val="22"/>
          <w:szCs w:val="24"/>
        </w:rPr>
        <w:t>外汇、汇率与外汇市场。外汇与汇率的基本概念和种类，汇率决定的基础，影响汇率变动的因素，汇率变动对经济的主要影响，外汇市场的含义、构成及特征，外汇交易的基本类型。</w:t>
      </w:r>
    </w:p>
    <w:p w14:paraId="63D9BEAC">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3.外汇管制与汇率制度。外汇管制的概念、内容、方式及效应，货币自由兑换的内涵和条件，汇率制度的概念及其分类，汇率制度的选择，货币局制度的含义与特征，联系汇率制的内容和运行机制，我国的外汇管理体制沿革和人民币汇率制度。</w:t>
      </w:r>
    </w:p>
    <w:p w14:paraId="541C9D80">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4.国际储备。国际储备的含义、来源及作用，国际储备与国际清偿力的关系，国际储备的结构，储备货币分散化及其影响，国际储备的需求及影响因素，了解国际储备总量管理与结构管理的内容，并能熟练运用国际储备管理原理分析我国的国际储备问题。</w:t>
      </w:r>
    </w:p>
    <w:p w14:paraId="6E3123E1">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5.国际金融市场。国际金融市场的含义与分类、国际金融市场的形成条件与作用，欧洲货币市场的含义、分类、特征及对世界经济的影响，欧洲银行同业拆借市场的运行机制，国际资本市场的内涵与构成。</w:t>
      </w:r>
    </w:p>
    <w:p w14:paraId="1AC47352">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6.国际金融风险管理。国际金融风险的含义、特征与类型，国际金融风险管理的目标与意义，外汇风险的含义与类型，掌握外汇风险管理的原则与基本方法，企业外汇风险的类型与管理，商业银行外汇风险的类型与管理。</w:t>
      </w:r>
    </w:p>
    <w:p w14:paraId="59424CB3">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7.国际资本流动与国际金融危机。国际资本流动的含义、类型与特点，明确国际资本流动对一国经济和世界经济带来的利益与风险，金融危机的含义及特点，三次金融危机的比较及对我国的启示，中国利用外资、对外投资和外资管理问题。</w:t>
      </w:r>
      <w:r>
        <w:rPr>
          <w:rFonts w:ascii="Times New Roman" w:hAnsi="Times New Roman" w:eastAsia="宋体" w:cs="Times New Roman"/>
          <w:sz w:val="22"/>
          <w:szCs w:val="24"/>
        </w:rPr>
        <w:t xml:space="preserve"> </w:t>
      </w:r>
    </w:p>
    <w:p w14:paraId="6D831A09">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8.国际货币体系。国际货币体系的含义与内容，并在此基础上明确国际金本位制的特征与崩溃，布雷顿森林体系的建立、内容、作用及其局限性，在了解牙买加体系的产生、主要内容和特点的基础上，掌握中央银行货币互换及其对国际货币体系的影响。国际货币基金组织、世界银行集团、国际清算银行、区域性和半区域性国际金融机构的宗旨、职能、资金来源和业务活动。</w:t>
      </w:r>
    </w:p>
    <w:p w14:paraId="22BEFA8E">
      <w:pPr>
        <w:rPr>
          <w:rFonts w:ascii="Times New Roman" w:hAnsi="Times New Roman" w:eastAsia="宋体" w:cs="Times New Roman"/>
          <w:b/>
          <w:sz w:val="22"/>
          <w:szCs w:val="24"/>
        </w:rPr>
      </w:pPr>
      <w:r>
        <w:rPr>
          <w:rFonts w:hint="eastAsia" w:ascii="Times New Roman" w:hAnsi="Times New Roman" w:eastAsia="宋体" w:cs="Times New Roman"/>
          <w:b/>
          <w:sz w:val="22"/>
          <w:szCs w:val="24"/>
        </w:rPr>
        <w:t>三、考试形式</w:t>
      </w:r>
    </w:p>
    <w:p w14:paraId="752B61B2">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1.考试形式为闭卷、笔试；</w:t>
      </w:r>
    </w:p>
    <w:p w14:paraId="441FC3C5">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2.考试时间为3小时</w:t>
      </w:r>
      <w:r>
        <w:rPr>
          <w:rFonts w:ascii="Times New Roman" w:hAnsi="Times New Roman" w:eastAsia="宋体" w:cs="Times New Roman"/>
          <w:sz w:val="22"/>
          <w:szCs w:val="24"/>
        </w:rPr>
        <w:t xml:space="preserve">，满分 </w:t>
      </w:r>
      <w:r>
        <w:rPr>
          <w:rFonts w:hint="eastAsia" w:ascii="Times New Roman" w:hAnsi="Times New Roman" w:eastAsia="宋体" w:cs="Times New Roman"/>
          <w:sz w:val="22"/>
          <w:szCs w:val="24"/>
        </w:rPr>
        <w:t>150</w:t>
      </w:r>
      <w:r>
        <w:rPr>
          <w:rFonts w:ascii="Times New Roman" w:hAnsi="Times New Roman" w:eastAsia="宋体" w:cs="Times New Roman"/>
          <w:sz w:val="22"/>
          <w:szCs w:val="24"/>
        </w:rPr>
        <w:t xml:space="preserve"> 分</w:t>
      </w:r>
      <w:r>
        <w:rPr>
          <w:rFonts w:hint="eastAsia" w:ascii="Times New Roman" w:hAnsi="Times New Roman" w:eastAsia="宋体" w:cs="Times New Roman"/>
          <w:sz w:val="22"/>
          <w:szCs w:val="24"/>
        </w:rPr>
        <w:t>（金融学、国际金融各占75分）</w:t>
      </w:r>
      <w:r>
        <w:rPr>
          <w:rFonts w:ascii="Times New Roman" w:hAnsi="Times New Roman" w:eastAsia="宋体" w:cs="Times New Roman"/>
          <w:sz w:val="22"/>
          <w:szCs w:val="24"/>
        </w:rPr>
        <w:t>。</w:t>
      </w:r>
    </w:p>
    <w:p w14:paraId="59910A81">
      <w:pPr>
        <w:rPr>
          <w:rFonts w:ascii="Times New Roman" w:hAnsi="Times New Roman" w:eastAsia="宋体" w:cs="Times New Roman"/>
          <w:b/>
          <w:sz w:val="22"/>
          <w:szCs w:val="24"/>
        </w:rPr>
      </w:pPr>
      <w:r>
        <w:rPr>
          <w:rFonts w:hint="eastAsia" w:ascii="Times New Roman" w:hAnsi="Times New Roman" w:eastAsia="宋体" w:cs="Times New Roman"/>
          <w:b/>
          <w:sz w:val="22"/>
          <w:szCs w:val="24"/>
        </w:rPr>
        <w:t>四、试卷结构</w:t>
      </w:r>
    </w:p>
    <w:p w14:paraId="13CF874B">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1.简答题（45分）</w:t>
      </w:r>
    </w:p>
    <w:p w14:paraId="00218053">
      <w:pPr>
        <w:ind w:firstLine="440" w:firstLineChars="200"/>
        <w:rPr>
          <w:rFonts w:ascii="Times New Roman" w:hAnsi="Times New Roman" w:eastAsia="宋体" w:cs="Times New Roman"/>
          <w:sz w:val="22"/>
          <w:szCs w:val="24"/>
        </w:rPr>
      </w:pPr>
      <w:r>
        <w:rPr>
          <w:rFonts w:hint="eastAsia" w:ascii="Times New Roman" w:hAnsi="Times New Roman" w:eastAsia="宋体" w:cs="Times New Roman"/>
          <w:sz w:val="22"/>
          <w:szCs w:val="24"/>
        </w:rPr>
        <w:t>2.论述题（30分）</w:t>
      </w:r>
    </w:p>
    <w:p w14:paraId="4D16B80E">
      <w:pPr>
        <w:rPr>
          <w:rFonts w:ascii="Times New Roman" w:hAnsi="Times New Roman" w:eastAsia="宋体" w:cs="Times New Roman"/>
          <w:b/>
          <w:sz w:val="22"/>
          <w:szCs w:val="24"/>
        </w:rPr>
      </w:pPr>
      <w:r>
        <w:rPr>
          <w:rFonts w:hint="eastAsia" w:ascii="Times New Roman" w:hAnsi="Times New Roman" w:eastAsia="宋体" w:cs="Times New Roman"/>
          <w:b/>
          <w:sz w:val="22"/>
          <w:szCs w:val="24"/>
        </w:rPr>
        <w:t>五、参考书目</w:t>
      </w:r>
    </w:p>
    <w:p w14:paraId="2CE4C9C4">
      <w:pPr>
        <w:ind w:firstLine="440" w:firstLineChars="200"/>
        <w:rPr>
          <w:rFonts w:ascii="黑体" w:hAnsi="黑体" w:eastAsia="黑体"/>
          <w:sz w:val="22"/>
        </w:rPr>
      </w:pPr>
      <w:r>
        <w:rPr>
          <w:rFonts w:hint="eastAsia" w:ascii="Times New Roman" w:hAnsi="Times New Roman" w:eastAsia="宋体" w:cs="Times New Roman"/>
          <w:sz w:val="22"/>
          <w:szCs w:val="24"/>
        </w:rPr>
        <w:t>《国际金融》，吴志明，杨胜刚，高等教育出版社，</w:t>
      </w:r>
      <w:r>
        <w:rPr>
          <w:rFonts w:ascii="Times New Roman" w:hAnsi="Times New Roman" w:eastAsia="宋体" w:cs="Times New Roman"/>
          <w:sz w:val="22"/>
          <w:szCs w:val="24"/>
        </w:rPr>
        <w:t>20</w:t>
      </w:r>
      <w:r>
        <w:rPr>
          <w:rFonts w:hint="eastAsia" w:ascii="Times New Roman" w:hAnsi="Times New Roman" w:eastAsia="宋体" w:cs="Times New Roman"/>
          <w:sz w:val="22"/>
          <w:szCs w:val="24"/>
        </w:rPr>
        <w:t>21年</w:t>
      </w:r>
      <w:r>
        <w:rPr>
          <w:rFonts w:ascii="Times New Roman" w:hAnsi="Times New Roman" w:eastAsia="宋体" w:cs="Times New Roman"/>
          <w:sz w:val="22"/>
          <w:szCs w:val="24"/>
        </w:rPr>
        <w:t>第</w:t>
      </w:r>
      <w:r>
        <w:rPr>
          <w:rFonts w:hint="eastAsia" w:ascii="Times New Roman" w:hAnsi="Times New Roman" w:eastAsia="宋体" w:cs="Times New Roman"/>
          <w:sz w:val="22"/>
          <w:szCs w:val="24"/>
        </w:rPr>
        <w:t>五</w:t>
      </w:r>
      <w:r>
        <w:rPr>
          <w:rFonts w:ascii="Times New Roman" w:hAnsi="Times New Roman" w:eastAsia="宋体" w:cs="Times New Roman"/>
          <w:sz w:val="22"/>
          <w:szCs w:val="24"/>
        </w:rPr>
        <w:t>版。</w:t>
      </w:r>
      <w:r>
        <w:rPr>
          <w:rFonts w:hint="eastAsia" w:ascii="Times New Roman" w:hAnsi="Times New Roman" w:eastAsia="宋体" w:cs="Times New Roman"/>
          <w:sz w:val="22"/>
          <w:szCs w:val="24"/>
        </w:rPr>
        <w:t>ISBN 9787040563511</w:t>
      </w:r>
    </w:p>
    <w:p w14:paraId="70F38FA3"/>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4D574"/>
    <w:multiLevelType w:val="singleLevel"/>
    <w:tmpl w:val="9DD4D574"/>
    <w:lvl w:ilvl="0" w:tentative="0">
      <w:start w:val="2"/>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2D0613F0"/>
    <w:rsid w:val="4044666A"/>
    <w:rsid w:val="414E6551"/>
    <w:rsid w:val="5F011E9E"/>
    <w:rsid w:val="5F067039"/>
    <w:rsid w:val="6D1A6845"/>
    <w:rsid w:val="767A3CDC"/>
    <w:rsid w:val="778D031B"/>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20021</Words>
  <Characters>20869</Characters>
  <Lines>434</Lines>
  <Paragraphs>122</Paragraphs>
  <TotalTime>0</TotalTime>
  <ScaleCrop>false</ScaleCrop>
  <LinksUpToDate>false</LinksUpToDate>
  <CharactersWithSpaces>21503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2024-11-07T02:34:03Z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EB2AED38475840538DE119D2CD1586B8_13</vt:lpwstr>
  </property>
</Properties>
</file>