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369F7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202</w:t>
      </w:r>
      <w:r>
        <w:rPr>
          <w:rFonts w:hint="eastAsia" w:ascii="Times New Roman" w:hAnsi="Times New Roman" w:eastAsia="黑体"/>
          <w:sz w:val="40"/>
          <w:szCs w:val="40"/>
          <w:lang w:val="en-US" w:eastAsia="zh-CN"/>
        </w:rPr>
        <w:t>5</w:t>
      </w:r>
      <w:r>
        <w:rPr>
          <w:rFonts w:ascii="Times New Roman" w:hAnsi="Times New Roman" w:eastAsia="黑体"/>
          <w:sz w:val="40"/>
          <w:szCs w:val="40"/>
        </w:rPr>
        <w:t>年硕士研究生入学初试</w:t>
      </w:r>
    </w:p>
    <w:p w14:paraId="0014F59C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《</w:t>
      </w:r>
      <w:r>
        <w:rPr>
          <w:rFonts w:hint="eastAsia" w:ascii="Times New Roman" w:hAnsi="Times New Roman" w:eastAsia="黑体"/>
          <w:sz w:val="40"/>
          <w:szCs w:val="40"/>
        </w:rPr>
        <w:t>分析化学</w:t>
      </w:r>
      <w:r>
        <w:rPr>
          <w:rFonts w:ascii="Times New Roman" w:hAnsi="Times New Roman" w:eastAsia="黑体"/>
          <w:sz w:val="40"/>
          <w:szCs w:val="40"/>
        </w:rPr>
        <w:t>》考试大纲</w:t>
      </w:r>
    </w:p>
    <w:p w14:paraId="3F1F2316"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sz w:val="40"/>
          <w:szCs w:val="40"/>
        </w:rPr>
      </w:pPr>
    </w:p>
    <w:p w14:paraId="2891CC6D">
      <w:pPr>
        <w:adjustRightInd w:val="0"/>
        <w:snapToGrid w:val="0"/>
        <w:spacing w:line="360" w:lineRule="auto"/>
        <w:rPr>
          <w:rFonts w:ascii="Times New Roman" w:hAnsi="Times New Roman" w:eastAsia="黑体"/>
          <w:sz w:val="40"/>
          <w:szCs w:val="40"/>
        </w:rPr>
      </w:pPr>
      <w:r>
        <w:rPr>
          <w:rFonts w:hint="eastAsia" w:ascii="Times New Roman" w:hAnsi="Times New Roman" w:eastAsia="黑体"/>
          <w:b/>
          <w:bCs/>
          <w:color w:val="0000FF"/>
          <w:sz w:val="40"/>
          <w:szCs w:val="40"/>
        </w:rPr>
        <w:t>分析化学（科目代码：</w:t>
      </w:r>
      <w:r>
        <w:rPr>
          <w:rFonts w:ascii="Times New Roman" w:hAnsi="Times New Roman" w:eastAsia="黑体"/>
          <w:b/>
          <w:bCs/>
          <w:color w:val="0000FF"/>
          <w:sz w:val="40"/>
          <w:szCs w:val="40"/>
        </w:rPr>
        <w:t>803</w:t>
      </w:r>
      <w:r>
        <w:rPr>
          <w:rFonts w:hint="eastAsia" w:ascii="Times New Roman" w:hAnsi="Times New Roman" w:eastAsia="黑体"/>
          <w:b/>
          <w:bCs/>
          <w:color w:val="0000FF"/>
          <w:sz w:val="40"/>
          <w:szCs w:val="40"/>
        </w:rPr>
        <w:t>）一科考试时须在招生单位（10063：天津中医药大学）提供的答题卡上作答，写在试卷上或答题纸上的答案均不计分。</w:t>
      </w:r>
    </w:p>
    <w:p w14:paraId="7C5C3302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="黑体"/>
          <w:b/>
          <w:bCs/>
          <w:color w:val="0000FF"/>
          <w:sz w:val="36"/>
          <w:szCs w:val="36"/>
        </w:rPr>
        <w:t>该自命题科目不允许使用计算器。</w:t>
      </w:r>
      <w:bookmarkStart w:id="0" w:name="_GoBack"/>
      <w:bookmarkEnd w:id="0"/>
    </w:p>
    <w:p w14:paraId="781DC384">
      <w:pPr>
        <w:pStyle w:val="8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第一部分：考试形式和试卷结构</w:t>
      </w:r>
    </w:p>
    <w:p w14:paraId="28E29F75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试卷满分及考试时间</w:t>
      </w:r>
    </w:p>
    <w:p w14:paraId="190C12C3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本试卷满分为150分，考试时间为180分钟。</w:t>
      </w:r>
    </w:p>
    <w:p w14:paraId="7F3892B6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答题方式</w:t>
      </w:r>
    </w:p>
    <w:p w14:paraId="38614215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答题方式为闭卷、笔试。</w:t>
      </w:r>
    </w:p>
    <w:p w14:paraId="0631041D">
      <w:pPr>
        <w:pStyle w:val="15"/>
        <w:numPr>
          <w:ilvl w:val="0"/>
          <w:numId w:val="1"/>
        </w:numPr>
        <w:adjustRightInd w:val="0"/>
        <w:snapToGrid w:val="0"/>
        <w:spacing w:line="360" w:lineRule="auto"/>
        <w:ind w:left="0" w:firstLine="0" w:firstLineChars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试卷题型结构</w:t>
      </w:r>
    </w:p>
    <w:p w14:paraId="21776FE7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1判断题：共</w:t>
      </w:r>
      <w:r>
        <w:rPr>
          <w:rFonts w:ascii="Times New Roman" w:hAnsi="Times New Roman"/>
          <w:sz w:val="24"/>
        </w:rPr>
        <w:t>60</w:t>
      </w:r>
      <w:r>
        <w:rPr>
          <w:rFonts w:hint="eastAsia" w:ascii="Times New Roman" w:hAnsi="Times New Roman"/>
          <w:sz w:val="24"/>
        </w:rPr>
        <w:t>道小题（</w:t>
      </w:r>
      <w:r>
        <w:rPr>
          <w:rFonts w:ascii="Times New Roman" w:hAnsi="Times New Roman"/>
          <w:sz w:val="24"/>
        </w:rPr>
        <w:t>1−60</w:t>
      </w:r>
      <w:r>
        <w:rPr>
          <w:rFonts w:hint="eastAsia" w:ascii="Times New Roman" w:hAnsi="Times New Roman"/>
          <w:sz w:val="24"/>
        </w:rPr>
        <w:t>），每小题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分，计</w:t>
      </w:r>
      <w:r>
        <w:rPr>
          <w:rFonts w:ascii="Times New Roman" w:hAnsi="Times New Roman"/>
          <w:sz w:val="24"/>
        </w:rPr>
        <w:t>60</w:t>
      </w:r>
      <w:r>
        <w:rPr>
          <w:rFonts w:hint="eastAsia" w:ascii="Times New Roman" w:hAnsi="Times New Roman"/>
          <w:sz w:val="24"/>
        </w:rPr>
        <w:t>分。</w:t>
      </w:r>
    </w:p>
    <w:p w14:paraId="7E0CC090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2单选题：共</w:t>
      </w:r>
      <w:r>
        <w:rPr>
          <w:rFonts w:ascii="Times New Roman" w:hAnsi="Times New Roman"/>
          <w:sz w:val="24"/>
        </w:rPr>
        <w:t>60</w:t>
      </w:r>
      <w:r>
        <w:rPr>
          <w:rFonts w:hint="eastAsia" w:ascii="Times New Roman" w:hAnsi="Times New Roman"/>
          <w:sz w:val="24"/>
        </w:rPr>
        <w:t>道小题（</w:t>
      </w:r>
      <w:r>
        <w:rPr>
          <w:rFonts w:ascii="Times New Roman" w:hAnsi="Times New Roman"/>
          <w:sz w:val="24"/>
        </w:rPr>
        <w:t>61−120</w:t>
      </w:r>
      <w:r>
        <w:rPr>
          <w:rFonts w:hint="eastAsia" w:ascii="Times New Roman" w:hAnsi="Times New Roman"/>
          <w:sz w:val="24"/>
        </w:rPr>
        <w:t>），每小题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分，计</w:t>
      </w:r>
      <w:r>
        <w:rPr>
          <w:rFonts w:ascii="Times New Roman" w:hAnsi="Times New Roman"/>
          <w:sz w:val="24"/>
        </w:rPr>
        <w:t>60</w:t>
      </w:r>
      <w:r>
        <w:rPr>
          <w:rFonts w:hint="eastAsia" w:ascii="Times New Roman" w:hAnsi="Times New Roman"/>
          <w:sz w:val="24"/>
        </w:rPr>
        <w:t>分。</w:t>
      </w:r>
    </w:p>
    <w:p w14:paraId="4A4457BD"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3多选题：共</w:t>
      </w:r>
      <w:r>
        <w:rPr>
          <w:rFonts w:ascii="Times New Roman" w:hAnsi="Times New Roman"/>
          <w:sz w:val="24"/>
        </w:rPr>
        <w:t>30</w:t>
      </w:r>
      <w:r>
        <w:rPr>
          <w:rFonts w:hint="eastAsia" w:ascii="Times New Roman" w:hAnsi="Times New Roman"/>
          <w:sz w:val="24"/>
        </w:rPr>
        <w:t>道小题（</w:t>
      </w:r>
      <w:r>
        <w:rPr>
          <w:rFonts w:ascii="Times New Roman" w:hAnsi="Times New Roman"/>
          <w:sz w:val="24"/>
        </w:rPr>
        <w:t>121−150</w:t>
      </w:r>
      <w:r>
        <w:rPr>
          <w:rFonts w:hint="eastAsia" w:ascii="Times New Roman" w:hAnsi="Times New Roman"/>
          <w:sz w:val="24"/>
        </w:rPr>
        <w:t>），每小题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分，计</w:t>
      </w:r>
      <w:r>
        <w:rPr>
          <w:rFonts w:ascii="Times New Roman" w:hAnsi="Times New Roman"/>
          <w:sz w:val="24"/>
        </w:rPr>
        <w:t>30</w:t>
      </w:r>
      <w:r>
        <w:rPr>
          <w:rFonts w:hint="eastAsia" w:ascii="Times New Roman" w:hAnsi="Times New Roman"/>
          <w:sz w:val="24"/>
        </w:rPr>
        <w:t>分。</w:t>
      </w:r>
    </w:p>
    <w:p w14:paraId="3AE6B837">
      <w:pPr>
        <w:spacing w:line="360" w:lineRule="auto"/>
      </w:pPr>
    </w:p>
    <w:p w14:paraId="4035E58E">
      <w:pPr>
        <w:pStyle w:val="8"/>
        <w:spacing w:before="0" w:beforeAutospacing="0" w:after="0" w:afterAutospacing="0" w:line="360" w:lineRule="auto"/>
        <w:ind w:left="643" w:hanging="643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第二部分：考试大纲</w:t>
      </w:r>
    </w:p>
    <w:p w14:paraId="6EB44EA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3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分析化学作为</w:t>
      </w:r>
      <w:r>
        <w:rPr>
          <w:rFonts w:hint="eastAsia" w:ascii="Times New Roman" w:hAnsi="Times New Roman"/>
          <w:sz w:val="24"/>
        </w:rPr>
        <w:t>生物与医药</w:t>
      </w:r>
      <w:r>
        <w:rPr>
          <w:rFonts w:ascii="Times New Roman" w:hAnsi="Times New Roman"/>
          <w:sz w:val="24"/>
        </w:rPr>
        <w:t>专业的专业基础课，内容包括定量分析的基本概念、重量分析、各类滴定分析的定量方法，以及误差和分析数据处理等。</w:t>
      </w:r>
    </w:p>
    <w:p w14:paraId="163B37BD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第一章  绪论</w:t>
      </w:r>
    </w:p>
    <w:p w14:paraId="78D60EE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470755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掌握分析化学任务、基本内容，熟悉试样分析的基本程序，</w:t>
      </w:r>
      <w:r>
        <w:rPr>
          <w:rFonts w:ascii="Times New Roman" w:hAnsi="Times New Roman"/>
          <w:sz w:val="24"/>
        </w:rPr>
        <w:t>了解分析化学的特点、分类及</w:t>
      </w:r>
      <w:r>
        <w:rPr>
          <w:rFonts w:ascii="Times New Roman" w:hAnsi="Times New Roman"/>
          <w:color w:val="000000"/>
          <w:sz w:val="24"/>
        </w:rPr>
        <w:t>分析化学的作用、发展趋势。</w:t>
      </w:r>
    </w:p>
    <w:p w14:paraId="7F6B6462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55F6FE55">
      <w:pPr>
        <w:pStyle w:val="3"/>
        <w:numPr>
          <w:ilvl w:val="0"/>
          <w:numId w:val="2"/>
        </w:numPr>
        <w:tabs>
          <w:tab w:val="left" w:pos="851"/>
          <w:tab w:val="clear" w:pos="990"/>
        </w:tabs>
        <w:adjustRightInd w:val="0"/>
        <w:snapToGrid w:val="0"/>
        <w:spacing w:after="0" w:line="360" w:lineRule="auto"/>
        <w:ind w:hanging="56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分析化学的任务和作用；</w:t>
      </w:r>
    </w:p>
    <w:p w14:paraId="7F87F118">
      <w:pPr>
        <w:pStyle w:val="3"/>
        <w:numPr>
          <w:ilvl w:val="0"/>
          <w:numId w:val="2"/>
        </w:numPr>
        <w:tabs>
          <w:tab w:val="left" w:pos="851"/>
          <w:tab w:val="clear" w:pos="990"/>
        </w:tabs>
        <w:adjustRightInd w:val="0"/>
        <w:snapToGrid w:val="0"/>
        <w:spacing w:after="0" w:line="360" w:lineRule="auto"/>
        <w:ind w:hanging="56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分析化学的特点和分类；</w:t>
      </w:r>
    </w:p>
    <w:p w14:paraId="1D392D57">
      <w:pPr>
        <w:pStyle w:val="3"/>
        <w:numPr>
          <w:ilvl w:val="0"/>
          <w:numId w:val="2"/>
        </w:numPr>
        <w:tabs>
          <w:tab w:val="left" w:pos="851"/>
          <w:tab w:val="clear" w:pos="990"/>
        </w:tabs>
        <w:adjustRightInd w:val="0"/>
        <w:snapToGrid w:val="0"/>
        <w:spacing w:after="0" w:line="360" w:lineRule="auto"/>
        <w:ind w:hanging="56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试样分析的基本程序；</w:t>
      </w:r>
    </w:p>
    <w:p w14:paraId="358D33C1">
      <w:pPr>
        <w:pStyle w:val="3"/>
        <w:numPr>
          <w:ilvl w:val="0"/>
          <w:numId w:val="2"/>
        </w:numPr>
        <w:tabs>
          <w:tab w:val="left" w:pos="851"/>
          <w:tab w:val="clear" w:pos="990"/>
        </w:tabs>
        <w:adjustRightInd w:val="0"/>
        <w:snapToGrid w:val="0"/>
        <w:spacing w:after="0" w:line="360" w:lineRule="auto"/>
        <w:ind w:hanging="56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分析化学的发展趋势。</w:t>
      </w:r>
    </w:p>
    <w:p w14:paraId="05074217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第二章  误差和分析数据的处理</w:t>
      </w:r>
    </w:p>
    <w:p w14:paraId="027F311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648A224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600" w:firstLineChars="25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熟悉误差的分类、性质及消减方法；掌握准确度与精密度的概念、关系及表示方法；掌握有效数字的计算规则及分析数据的处理。掌握Q检验，了解差别检验、相关与回归。</w:t>
      </w:r>
    </w:p>
    <w:p w14:paraId="2252EEF8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62A66866">
      <w:pPr>
        <w:pStyle w:val="3"/>
        <w:adjustRightInd w:val="0"/>
        <w:snapToGrid w:val="0"/>
        <w:spacing w:after="0" w:line="360" w:lineRule="auto"/>
        <w:ind w:firstLine="240" w:firstLineChars="1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1．误差的产生与种类：系统误差、随机误差。</w:t>
      </w:r>
    </w:p>
    <w:p w14:paraId="24FFF5C3">
      <w:pPr>
        <w:pStyle w:val="4"/>
        <w:adjustRightInd w:val="0"/>
        <w:snapToGrid w:val="0"/>
        <w:spacing w:line="360" w:lineRule="auto"/>
        <w:ind w:left="0" w:leftChars="0" w:firstLine="240" w:firstLineChars="1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2．误差的表示方法：准确度与误差；精密度与偏差；准确度与精密度的关系，提高分析结果准确度的方法。</w:t>
      </w:r>
    </w:p>
    <w:p w14:paraId="0A83F21D">
      <w:pPr>
        <w:pStyle w:val="4"/>
        <w:adjustRightInd w:val="0"/>
        <w:snapToGrid w:val="0"/>
        <w:spacing w:line="360" w:lineRule="auto"/>
        <w:ind w:left="0" w:leftChars="0" w:firstLine="240" w:firstLineChars="1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3．有效数字的意义、有效数字的计算规则及其在分析化学实验中的应用。</w:t>
      </w:r>
    </w:p>
    <w:p w14:paraId="02EC05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240" w:firstLineChars="1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4．分析数据的处理：t分布、置信度与平均值置信区间及离群值的取舍方法。</w:t>
      </w:r>
    </w:p>
    <w:p w14:paraId="33A8277A">
      <w:pPr>
        <w:pStyle w:val="3"/>
        <w:adjustRightInd w:val="0"/>
        <w:snapToGrid w:val="0"/>
        <w:spacing w:after="0" w:line="360" w:lineRule="auto"/>
        <w:ind w:firstLine="240" w:firstLineChars="1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5．差别检验</w:t>
      </w:r>
      <w:r>
        <w:rPr>
          <w:rFonts w:ascii="Times New Roman" w:hAnsi="Times New Roman"/>
          <w:sz w:val="24"/>
        </w:rPr>
        <w:t>、线性回归。</w:t>
      </w:r>
    </w:p>
    <w:p w14:paraId="54FF3329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第三章 重量分析法</w:t>
      </w:r>
    </w:p>
    <w:p w14:paraId="5D5A93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76D7574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掌握沉淀法对沉淀的要求；影响沉淀溶解度、沉淀纯度的因素；晶形沉淀和非晶形沉淀的沉淀条件及沉淀法的计算。熟悉挥发法、萃取法及其应用。掌握分析天平的使用方法。</w:t>
      </w:r>
    </w:p>
    <w:p w14:paraId="3E3D0B7A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46EE0D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1．重量法分类及特点。</w:t>
      </w:r>
    </w:p>
    <w:p w14:paraId="358415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2．挥发法：概念及应用，恒重、干燥失重、灰份测定。</w:t>
      </w:r>
    </w:p>
    <w:p w14:paraId="2741A7E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3．萃取法：概念及应用。</w:t>
      </w:r>
    </w:p>
    <w:p w14:paraId="1CD433E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4．沉淀法：沉淀重量法的整个过程，沉淀法对沉淀及称量形式的要求；沉淀的溶解度及影响因素；沉淀的纯度及影响因素；晶形和非晶形沉淀的沉淀条件；沉淀法的计算，换算因数的概念及表示。</w:t>
      </w:r>
    </w:p>
    <w:p w14:paraId="13D6C6C2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第四章  滴定分析概论</w:t>
      </w:r>
    </w:p>
    <w:p w14:paraId="3193C4A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0CEC6C7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通过本章学习，掌握滴定分析对滴定反应的要求及滴定方式；熟悉滴定分析法的特点和分类；掌握标准溶液的配制、标定和浓度的表示方法。掌握基准物质的条件，了解</w:t>
      </w:r>
      <w:r>
        <w:rPr>
          <w:rFonts w:ascii="Times New Roman" w:hAnsi="Times New Roman"/>
          <w:sz w:val="24"/>
        </w:rPr>
        <w:t>容量器皿的校正方法。</w:t>
      </w:r>
    </w:p>
    <w:p w14:paraId="650A391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543C3C95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滴定分析法的分类和特点。</w:t>
      </w:r>
    </w:p>
    <w:p w14:paraId="25ED0030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滴定分析法的基本操作。</w:t>
      </w:r>
    </w:p>
    <w:p w14:paraId="102D0609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滴定分析对滴定反应的要求，滴定方式。</w:t>
      </w:r>
    </w:p>
    <w:p w14:paraId="2A4D3D85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基准物质及标准溶液的配制、标定。</w:t>
      </w:r>
    </w:p>
    <w:p w14:paraId="703DDE45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标准溶液的浓度表示方法：物质的量浓度、滴定度。</w:t>
      </w:r>
    </w:p>
    <w:p w14:paraId="1084FDCC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有关滴定分析的计算。</w:t>
      </w:r>
    </w:p>
    <w:p w14:paraId="590930FB">
      <w:pPr>
        <w:pStyle w:val="7"/>
        <w:numPr>
          <w:ilvl w:val="0"/>
          <w:numId w:val="3"/>
        </w:numPr>
        <w:tabs>
          <w:tab w:val="left" w:pos="709"/>
          <w:tab w:val="clear" w:pos="977"/>
        </w:tabs>
        <w:adjustRightInd w:val="0"/>
        <w:snapToGrid w:val="0"/>
        <w:spacing w:line="360" w:lineRule="auto"/>
        <w:ind w:leftChars="0" w:hanging="268" w:firstLineChars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容量仪器的校正。</w:t>
      </w:r>
    </w:p>
    <w:p w14:paraId="50A8FE06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第五章   酸碱滴定法</w:t>
      </w:r>
    </w:p>
    <w:p w14:paraId="7E261B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16EC5B0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掌握酸碱质子理论，进一步巩固酸碱平衡理论；熟练掌握各种酸碱水溶液H</w:t>
      </w:r>
      <w:r>
        <w:rPr>
          <w:rFonts w:ascii="Times New Roman" w:hAnsi="Times New Roman"/>
          <w:color w:val="000000"/>
          <w:sz w:val="24"/>
          <w:vertAlign w:val="superscript"/>
        </w:rPr>
        <w:t>+</w:t>
      </w:r>
      <w:r>
        <w:rPr>
          <w:rFonts w:ascii="Times New Roman" w:hAnsi="Times New Roman"/>
          <w:color w:val="000000"/>
          <w:sz w:val="24"/>
        </w:rPr>
        <w:t>浓度的计算；</w:t>
      </w:r>
      <w:r>
        <w:rPr>
          <w:rFonts w:ascii="Times New Roman" w:hAnsi="Times New Roman"/>
          <w:sz w:val="24"/>
        </w:rPr>
        <w:t>掌握酸碱指示剂的变色原理、范围及常用指示剂；</w:t>
      </w:r>
      <w:r>
        <w:rPr>
          <w:rFonts w:ascii="Times New Roman" w:hAnsi="Times New Roman"/>
          <w:color w:val="000000"/>
          <w:sz w:val="24"/>
        </w:rPr>
        <w:t>在理解酸碱滴定曲线的基础上，掌握各种类型的酸碱体系滴定可行性条件、分步滴定条件的判断及指示剂的选择；熟悉滴定误差的计算。掌握酸碱标准溶液的配制与标定，了解酸碱滴定法的应用。</w:t>
      </w:r>
    </w:p>
    <w:p w14:paraId="046C9CF8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55CE9AE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1．酸碱质子理论：质子理论的酸碱概念、溶剂合质子、溶剂的质子自递常数、共轭酸碱对离解常数的关系。</w:t>
      </w:r>
    </w:p>
    <w:p w14:paraId="721879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2．酸碱溶液中各组分的分布：分布系数与分布曲线。</w:t>
      </w:r>
    </w:p>
    <w:p w14:paraId="3006E74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3．质量平衡、电荷平衡、质子平衡。</w:t>
      </w:r>
    </w:p>
    <w:p w14:paraId="13E25A4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4．酸碱水溶液中H+浓度的计算。</w:t>
      </w:r>
    </w:p>
    <w:p w14:paraId="6DAEB3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5．酸碱指示剂：指示剂的变色原理和变色范围、混合指示剂。</w:t>
      </w:r>
    </w:p>
    <w:p w14:paraId="621AE88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6．酸碱滴定曲线及影响突跃范围的因素。</w:t>
      </w:r>
    </w:p>
    <w:p w14:paraId="3D587B4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7．强酸、强碱的滴定（滴定曲线、滴定可行性的判断及指示剂的选择）。</w:t>
      </w:r>
    </w:p>
    <w:p w14:paraId="067D6D7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8．一元弱酸弱碱的滴定（滴定曲线、滴定可行性的判断及指示剂的选择）。</w:t>
      </w:r>
    </w:p>
    <w:p w14:paraId="14DE3E7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9．多元酸多元碱（滴定可行性、分步滴定条件的判断及指示剂的选择）。</w:t>
      </w:r>
    </w:p>
    <w:p w14:paraId="2D0E02F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10．滴定误差（强酸强碱、一元弱酸弱碱）。</w:t>
      </w:r>
    </w:p>
    <w:p w14:paraId="0D9575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11．酸碱标准溶液的配制与标定。</w:t>
      </w:r>
    </w:p>
    <w:p w14:paraId="39C9CE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12．酸碱滴定法的应用。</w:t>
      </w:r>
    </w:p>
    <w:p w14:paraId="0E0988A7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第六章   非水滴定法</w:t>
      </w:r>
    </w:p>
    <w:p w14:paraId="1ECC3A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1BDBADDC">
      <w:pPr>
        <w:pBdr>
          <w:top w:val="none" w:color="000000" w:sz="0" w:space="0"/>
          <w:left w:val="none" w:color="000000" w:sz="0" w:space="2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通过本章学习，</w:t>
      </w:r>
      <w:r>
        <w:rPr>
          <w:rFonts w:ascii="Times New Roman" w:hAnsi="Times New Roman"/>
          <w:sz w:val="24"/>
        </w:rPr>
        <w:t>熟悉非水滴定法的特点，</w:t>
      </w:r>
      <w:r>
        <w:rPr>
          <w:rFonts w:ascii="Times New Roman" w:hAnsi="Times New Roman"/>
          <w:color w:val="000000"/>
          <w:sz w:val="24"/>
        </w:rPr>
        <w:t>掌握溶剂的性质与作用、溶剂的选择原则；熟悉非水酸碱滴定的适用性及溶剂的分类；了解非水酸碱滴定的应用。</w:t>
      </w:r>
    </w:p>
    <w:p w14:paraId="55A9A00C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676DBF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1．非水滴定的特点及适用性。</w:t>
      </w:r>
    </w:p>
    <w:p w14:paraId="784570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2．溶剂的性质与作用：溶剂的离解性、溶剂的酸碱性、溶剂的极性、溶剂的拉平与区分效应。</w:t>
      </w:r>
    </w:p>
    <w:p w14:paraId="1AFE1C6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3．溶剂的分类与选择。</w:t>
      </w:r>
    </w:p>
    <w:p w14:paraId="2194DF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4．非水酸碱滴定。</w:t>
      </w:r>
    </w:p>
    <w:p w14:paraId="6743BFC8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第七章   沉淀滴定法</w:t>
      </w:r>
    </w:p>
    <w:p w14:paraId="2D2139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6E9814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掌握银量法（铬酸钾指示剂法、铁铵矾指示剂法、吸附指示剂法）的原理、滴定条件及应用范围；熟悉银量法标准溶液的配制、标定；了解银量法的应用。</w:t>
      </w:r>
    </w:p>
    <w:p w14:paraId="5B5B2B57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539A88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1．银量法的基本原理，指示终点的方法。</w:t>
      </w:r>
    </w:p>
    <w:p w14:paraId="6A8255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2．铬酸钾指示剂法（莫尔法）。</w:t>
      </w:r>
    </w:p>
    <w:p w14:paraId="2528B4F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3．铁铵矾指示剂法（伏尔哈德法）。</w:t>
      </w:r>
    </w:p>
    <w:p w14:paraId="25B3C94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4．吸附指示剂法（法扬司法）。</w:t>
      </w:r>
    </w:p>
    <w:p w14:paraId="7D3D058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5．银量法标准溶液的配制、标定。</w:t>
      </w:r>
    </w:p>
    <w:p w14:paraId="2908EA80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第八章  配位滴定法</w:t>
      </w:r>
    </w:p>
    <w:p w14:paraId="5618F2A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1622262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掌握EDTA滴定法的基本原理，正确选择滴定条件；掌握金属指示剂的变色原理，指示剂的封闭、僵化、变质现象及消除方法；熟悉提高配位滴定选择性的条件与方法；熟悉铬黑T等</w:t>
      </w:r>
      <w:r>
        <w:rPr>
          <w:rFonts w:ascii="Times New Roman" w:hAnsi="Times New Roman"/>
          <w:sz w:val="24"/>
        </w:rPr>
        <w:t>常用金属指示剂</w:t>
      </w:r>
      <w:r>
        <w:rPr>
          <w:rFonts w:ascii="Times New Roman" w:hAnsi="Times New Roman"/>
          <w:color w:val="000000"/>
          <w:sz w:val="24"/>
        </w:rPr>
        <w:t>的应用，了解配位滴定的方式及应用。</w:t>
      </w:r>
    </w:p>
    <w:p w14:paraId="371E30BC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1C40673A">
      <w:pPr>
        <w:pStyle w:val="7"/>
        <w:adjustRightInd w:val="0"/>
        <w:snapToGrid w:val="0"/>
        <w:spacing w:line="360" w:lineRule="auto"/>
        <w:ind w:left="197" w:leftChars="94" w:firstLine="240" w:firstLineChars="1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1．乙二胺四乙酸（ EDTA）的性质。</w:t>
      </w:r>
    </w:p>
    <w:p w14:paraId="6DC4E81F">
      <w:pPr>
        <w:pStyle w:val="7"/>
        <w:adjustRightInd w:val="0"/>
        <w:snapToGrid w:val="0"/>
        <w:spacing w:line="360" w:lineRule="auto"/>
        <w:ind w:left="101" w:leftChars="48" w:firstLine="360" w:firstLineChars="1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</w:t>
      </w:r>
      <w:r>
        <w:rPr>
          <w:rFonts w:ascii="Times New Roman" w:hAnsi="Times New Roman"/>
          <w:color w:val="000000"/>
          <w:sz w:val="24"/>
        </w:rPr>
        <w:t>EDTA配合物在溶液中的离解平衡：EDTA配合物的稳定性，影响EDTA配合物稳定性的因素－酸效应、配位效应，配合物的条件稳定常数。</w:t>
      </w:r>
    </w:p>
    <w:p w14:paraId="3609D51D">
      <w:pPr>
        <w:pStyle w:val="7"/>
        <w:adjustRightInd w:val="0"/>
        <w:snapToGrid w:val="0"/>
        <w:spacing w:line="360" w:lineRule="auto"/>
        <w:ind w:left="101" w:leftChars="48" w:firstLine="360" w:firstLineChars="1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3．EDTA配合物的稳定性及酸度等因素对稳定性的影响。</w:t>
      </w:r>
    </w:p>
    <w:p w14:paraId="32418A16">
      <w:pPr>
        <w:pStyle w:val="7"/>
        <w:adjustRightInd w:val="0"/>
        <w:snapToGrid w:val="0"/>
        <w:spacing w:line="360" w:lineRule="auto"/>
        <w:ind w:left="101" w:leftChars="48" w:firstLine="360" w:firstLineChars="1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4．配合物的条件稳定常数。</w:t>
      </w:r>
    </w:p>
    <w:p w14:paraId="175B2B96">
      <w:pPr>
        <w:pStyle w:val="7"/>
        <w:adjustRightInd w:val="0"/>
        <w:snapToGrid w:val="0"/>
        <w:spacing w:line="360" w:lineRule="auto"/>
        <w:ind w:left="101" w:leftChars="48" w:firstLine="360" w:firstLineChars="1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5．配位滴定法的原理、</w:t>
      </w:r>
      <w:r>
        <w:rPr>
          <w:rFonts w:ascii="Times New Roman" w:hAnsi="Times New Roman"/>
          <w:color w:val="000000"/>
          <w:sz w:val="24"/>
        </w:rPr>
        <w:t>滴定曲线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/>
          <w:color w:val="000000"/>
          <w:sz w:val="24"/>
        </w:rPr>
        <w:t>影响滴定突跃大小的因素及滴定可行性判断。</w:t>
      </w:r>
    </w:p>
    <w:p w14:paraId="1FA3D8CF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6．</w:t>
      </w:r>
      <w:r>
        <w:rPr>
          <w:rFonts w:ascii="Times New Roman" w:hAnsi="Times New Roman"/>
          <w:color w:val="000000"/>
          <w:sz w:val="24"/>
        </w:rPr>
        <w:t>配位滴定中酸度的控制：最高酸度、最低酸度。</w:t>
      </w:r>
    </w:p>
    <w:p w14:paraId="6BC14354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7．</w:t>
      </w:r>
      <w:r>
        <w:rPr>
          <w:rFonts w:ascii="Times New Roman" w:hAnsi="Times New Roman"/>
          <w:color w:val="000000"/>
          <w:sz w:val="24"/>
        </w:rPr>
        <w:t>金属指示剂：作用原理与条件，指示剂的封闭、僵化、变质现象，常用指示剂－铬黑T、二甲酚橙等。</w:t>
      </w:r>
    </w:p>
    <w:p w14:paraId="7040EE51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8．</w:t>
      </w:r>
      <w:r>
        <w:rPr>
          <w:rFonts w:ascii="Times New Roman" w:hAnsi="Times New Roman"/>
          <w:color w:val="000000"/>
          <w:sz w:val="24"/>
        </w:rPr>
        <w:t>混合离子选择滴定条件及提高配位滴定选择性的措施。</w:t>
      </w:r>
    </w:p>
    <w:p w14:paraId="06037C8F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9．</w:t>
      </w:r>
      <w:r>
        <w:rPr>
          <w:rFonts w:ascii="Times New Roman" w:hAnsi="Times New Roman"/>
          <w:color w:val="000000"/>
          <w:sz w:val="24"/>
        </w:rPr>
        <w:t>EDTA</w:t>
      </w:r>
      <w:r>
        <w:rPr>
          <w:rFonts w:ascii="Times New Roman" w:hAnsi="Times New Roman"/>
          <w:sz w:val="24"/>
        </w:rPr>
        <w:t>标准溶液的配制与标定。</w:t>
      </w:r>
    </w:p>
    <w:p w14:paraId="4ECE396A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10．配位滴定方式及其应用。</w:t>
      </w:r>
    </w:p>
    <w:p w14:paraId="587D6B94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第九章 氧化还原滴定法</w:t>
      </w:r>
    </w:p>
    <w:p w14:paraId="5E94DEF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103A672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掌握氧化还原滴定的原理、计算及氧化还原指示剂；掌握碘量法。熟悉</w:t>
      </w:r>
      <w:r>
        <w:rPr>
          <w:rFonts w:ascii="Times New Roman" w:hAnsi="Times New Roman"/>
          <w:sz w:val="24"/>
        </w:rPr>
        <w:t>氧化还原反应的特点、</w:t>
      </w:r>
      <w:r>
        <w:rPr>
          <w:rFonts w:ascii="Times New Roman" w:hAnsi="Times New Roman"/>
          <w:color w:val="000000"/>
          <w:sz w:val="24"/>
        </w:rPr>
        <w:t>氧化还原平衡；熟悉高锰酸钾法、重铬酸钾法。了解氧化还原滴定的应用。</w:t>
      </w:r>
    </w:p>
    <w:p w14:paraId="2B94DABA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0897DFF3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1．氧化还原反应的平衡常数及影响因素。</w:t>
      </w:r>
    </w:p>
    <w:p w14:paraId="4577209A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2．氧化还原滴定原理、滴定曲线及影响因素，滴定过程中电极电位的计算。</w:t>
      </w:r>
    </w:p>
    <w:p w14:paraId="062A9E0C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3．氧化还原指示剂：分类、变色原理、变色点及指示剂的选择。</w:t>
      </w:r>
    </w:p>
    <w:p w14:paraId="2BFDEDA1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4．碘量法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>原理、滴定条件、指示剂、标准溶液。</w:t>
      </w:r>
    </w:p>
    <w:p w14:paraId="479206F7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5．几种重要的氧化还原滴定法：高锰酸钾法、重铬酸钾、铈量法。</w:t>
      </w:r>
    </w:p>
    <w:p w14:paraId="48220487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6．氧化还原滴定的计算。</w:t>
      </w:r>
    </w:p>
    <w:p w14:paraId="5C147DDE">
      <w:pPr>
        <w:adjustRightInd w:val="0"/>
        <w:snapToGrid w:val="0"/>
        <w:spacing w:line="360" w:lineRule="auto"/>
        <w:ind w:firstLine="482" w:firstLineChars="2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第十章 电位法及双指示电极电流滴定法</w:t>
      </w:r>
    </w:p>
    <w:p w14:paraId="192D8AC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【要求】</w:t>
      </w:r>
    </w:p>
    <w:p w14:paraId="0332126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adjustRightInd w:val="0"/>
        <w:snapToGrid w:val="0"/>
        <w:spacing w:line="360" w:lineRule="auto"/>
        <w:ind w:firstLine="576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掌握电位法的基本原理，直接电位法的定量方法，能熟练运用Nernst方程计算电极电位，电池电动势及有关离子的浓度。学会使用pH计，掌握pH的测定方法，</w:t>
      </w:r>
      <w:r>
        <w:rPr>
          <w:rFonts w:ascii="Times New Roman" w:hAnsi="Times New Roman"/>
          <w:sz w:val="24"/>
        </w:rPr>
        <w:t>了解玻璃电极的工作原理，结构及性能</w:t>
      </w:r>
      <w:r>
        <w:rPr>
          <w:rFonts w:ascii="Times New Roman" w:hAnsi="Times New Roman"/>
          <w:color w:val="000000"/>
          <w:sz w:val="24"/>
        </w:rPr>
        <w:t xml:space="preserve">。熟悉电位滴定法的原理及确定终点的方法。熟悉双指示电极电流滴定法的原理、滴定曲线类型及终点确定。初步了解离子选择性电极的类型，作用原理。 </w:t>
      </w:r>
    </w:p>
    <w:p w14:paraId="32F86A35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【内容】</w:t>
      </w:r>
    </w:p>
    <w:p w14:paraId="7F0F51F6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1．电化学概述：化学电池、电极电位与Nernst方程，电动势及有关离子浓度的计算、可逆电对与不可逆电对。</w:t>
      </w:r>
    </w:p>
    <w:p w14:paraId="09C851FE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2．参比电极和指示电极：甘汞电极、离子选择性电极、玻璃电极。</w:t>
      </w:r>
    </w:p>
    <w:p w14:paraId="64FE280E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3．离子选择电极：分类、性能和应用。</w:t>
      </w:r>
    </w:p>
    <w:p w14:paraId="0553966D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4．直接电位法：原理、定量方法及计算（pH的测定，其他离子浓度测定）。</w:t>
      </w:r>
    </w:p>
    <w:p w14:paraId="72BE984E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5．电位滴定法：原理、确定终点方法。</w:t>
      </w:r>
    </w:p>
    <w:p w14:paraId="14E5D7D5">
      <w:pPr>
        <w:pStyle w:val="7"/>
        <w:adjustRightInd w:val="0"/>
        <w:snapToGrid w:val="0"/>
        <w:spacing w:line="360" w:lineRule="auto"/>
        <w:ind w:left="0" w:leftChars="0" w:firstLine="484" w:firstLineChars="20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6．双指示电极电流滴定法：原理、滴定曲线类型及终点判断。</w:t>
      </w:r>
    </w:p>
    <w:p w14:paraId="7719360F">
      <w:pPr>
        <w:pStyle w:val="7"/>
        <w:adjustRightInd w:val="0"/>
        <w:snapToGrid w:val="0"/>
        <w:spacing w:line="360" w:lineRule="auto"/>
        <w:ind w:left="98" w:leftChars="0" w:hanging="98" w:hangingChars="41"/>
        <w:jc w:val="left"/>
        <w:rPr>
          <w:rFonts w:ascii="Times New Roman" w:hAnsi="Times New Roman"/>
          <w:sz w:val="24"/>
        </w:rPr>
      </w:pPr>
    </w:p>
    <w:p w14:paraId="1D261C3F">
      <w:pPr>
        <w:pStyle w:val="7"/>
        <w:adjustRightInd w:val="0"/>
        <w:snapToGrid w:val="0"/>
        <w:spacing w:line="360" w:lineRule="auto"/>
        <w:ind w:left="98" w:leftChars="0" w:hanging="98" w:hangingChars="41"/>
        <w:jc w:val="left"/>
        <w:rPr>
          <w:rFonts w:ascii="Times New Roman" w:hAnsi="Times New Roman"/>
          <w:sz w:val="24"/>
        </w:rPr>
      </w:pPr>
    </w:p>
    <w:p w14:paraId="6CE28D35">
      <w:pPr>
        <w:spacing w:line="360" w:lineRule="auto"/>
        <w:rPr>
          <w:rFonts w:ascii="Times New Roman" w:hAnsi="Times New Roman"/>
          <w:bCs/>
          <w:color w:val="000000"/>
          <w:sz w:val="24"/>
        </w:rPr>
      </w:pPr>
      <w:r>
        <w:rPr>
          <w:rFonts w:hint="eastAsia" w:ascii="Times New Roman" w:hAnsi="Times New Roman"/>
          <w:b/>
          <w:color w:val="000000"/>
          <w:sz w:val="24"/>
        </w:rPr>
        <w:t>参考书目</w:t>
      </w:r>
      <w:r>
        <w:rPr>
          <w:rFonts w:hint="eastAsia" w:ascii="Times New Roman" w:hAnsi="Times New Roman"/>
          <w:color w:val="000000"/>
          <w:sz w:val="24"/>
        </w:rPr>
        <w:t>：</w:t>
      </w:r>
      <w:r>
        <w:rPr>
          <w:rFonts w:hint="eastAsia" w:ascii="Times New Roman" w:hAnsi="Times New Roman"/>
          <w:bCs/>
          <w:color w:val="000000"/>
          <w:sz w:val="24"/>
        </w:rPr>
        <w:t>《分析化学》张梅主编，人民卫生出版社，第</w:t>
      </w:r>
      <w:r>
        <w:rPr>
          <w:rFonts w:ascii="Times New Roman" w:hAnsi="Times New Roman"/>
          <w:bCs/>
          <w:color w:val="000000"/>
          <w:sz w:val="24"/>
        </w:rPr>
        <w:t>2</w:t>
      </w:r>
      <w:r>
        <w:rPr>
          <w:rFonts w:hint="eastAsia" w:ascii="Times New Roman" w:hAnsi="Times New Roman"/>
          <w:bCs/>
          <w:color w:val="000000"/>
          <w:sz w:val="24"/>
        </w:rPr>
        <w:t>版</w:t>
      </w:r>
    </w:p>
    <w:p w14:paraId="245AF9DD">
      <w:pPr>
        <w:pStyle w:val="7"/>
        <w:adjustRightInd w:val="0"/>
        <w:snapToGrid w:val="0"/>
        <w:spacing w:line="360" w:lineRule="auto"/>
        <w:ind w:left="98" w:leftChars="0" w:hanging="98" w:hangingChars="41"/>
        <w:jc w:val="left"/>
        <w:rPr>
          <w:rFonts w:ascii="Times New Roman" w:hAnsi="Times New Roman"/>
          <w:sz w:val="24"/>
        </w:rPr>
      </w:pPr>
    </w:p>
    <w:p w14:paraId="5095C4A5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048BF"/>
    <w:multiLevelType w:val="multilevel"/>
    <w:tmpl w:val="01C048BF"/>
    <w:lvl w:ilvl="0" w:tentative="0">
      <w:start w:val="1"/>
      <w:numFmt w:val="decimal"/>
      <w:lvlText w:val="%1."/>
      <w:lvlJc w:val="left"/>
      <w:pPr>
        <w:tabs>
          <w:tab w:val="left" w:pos="977"/>
        </w:tabs>
        <w:ind w:left="97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57"/>
        </w:tabs>
        <w:ind w:left="145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77"/>
        </w:tabs>
        <w:ind w:left="1877" w:hanging="420"/>
      </w:pPr>
    </w:lvl>
    <w:lvl w:ilvl="3" w:tentative="0">
      <w:start w:val="1"/>
      <w:numFmt w:val="decimal"/>
      <w:lvlText w:val="%4."/>
      <w:lvlJc w:val="left"/>
      <w:pPr>
        <w:tabs>
          <w:tab w:val="left" w:pos="2297"/>
        </w:tabs>
        <w:ind w:left="229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17"/>
        </w:tabs>
        <w:ind w:left="271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37"/>
        </w:tabs>
        <w:ind w:left="313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57"/>
        </w:tabs>
        <w:ind w:left="355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77"/>
        </w:tabs>
        <w:ind w:left="397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97"/>
        </w:tabs>
        <w:ind w:left="4397" w:hanging="420"/>
      </w:pPr>
    </w:lvl>
  </w:abstractNum>
  <w:abstractNum w:abstractNumId="1">
    <w:nsid w:val="3A587E5F"/>
    <w:multiLevelType w:val="multilevel"/>
    <w:tmpl w:val="3A587E5F"/>
    <w:lvl w:ilvl="0" w:tentative="0">
      <w:start w:val="1"/>
      <w:numFmt w:val="decimal"/>
      <w:lvlText w:val="%1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">
    <w:nsid w:val="3A5F009F"/>
    <w:multiLevelType w:val="multilevel"/>
    <w:tmpl w:val="3A5F009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ZjVkMTFjNTRmYTE2ZTMxYzhmNTJlMWU5MGU4M2YifQ=="/>
  </w:docVars>
  <w:rsids>
    <w:rsidRoot w:val="00564DBA"/>
    <w:rsid w:val="000022D8"/>
    <w:rsid w:val="000944D1"/>
    <w:rsid w:val="000F741F"/>
    <w:rsid w:val="001B105A"/>
    <w:rsid w:val="001D5596"/>
    <w:rsid w:val="002A3D05"/>
    <w:rsid w:val="002C1122"/>
    <w:rsid w:val="002D6173"/>
    <w:rsid w:val="003566F3"/>
    <w:rsid w:val="003B0630"/>
    <w:rsid w:val="00406C3D"/>
    <w:rsid w:val="0041289E"/>
    <w:rsid w:val="0041746D"/>
    <w:rsid w:val="004264E9"/>
    <w:rsid w:val="004A35D7"/>
    <w:rsid w:val="00506F5B"/>
    <w:rsid w:val="00514AA5"/>
    <w:rsid w:val="00564DBA"/>
    <w:rsid w:val="005A1980"/>
    <w:rsid w:val="0060485B"/>
    <w:rsid w:val="00687E34"/>
    <w:rsid w:val="006E42B2"/>
    <w:rsid w:val="007515E5"/>
    <w:rsid w:val="00782872"/>
    <w:rsid w:val="007841D3"/>
    <w:rsid w:val="007D69A5"/>
    <w:rsid w:val="007E228E"/>
    <w:rsid w:val="0083219E"/>
    <w:rsid w:val="008B7DCB"/>
    <w:rsid w:val="00926824"/>
    <w:rsid w:val="009F62C4"/>
    <w:rsid w:val="00A160F0"/>
    <w:rsid w:val="00A43BCE"/>
    <w:rsid w:val="00A72588"/>
    <w:rsid w:val="00AA43E2"/>
    <w:rsid w:val="00AD6D0E"/>
    <w:rsid w:val="00AF1CC3"/>
    <w:rsid w:val="00C44C95"/>
    <w:rsid w:val="00CB2EFF"/>
    <w:rsid w:val="00D84009"/>
    <w:rsid w:val="00DB1245"/>
    <w:rsid w:val="00E543EF"/>
    <w:rsid w:val="00EA0F48"/>
    <w:rsid w:val="07C87CD0"/>
    <w:rsid w:val="5A8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0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5"/>
    <w:basedOn w:val="1"/>
    <w:qFormat/>
    <w:uiPriority w:val="0"/>
    <w:pPr>
      <w:ind w:left="100" w:leftChars="800" w:hanging="200" w:hangingChars="200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9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主题 字符"/>
    <w:basedOn w:val="16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8">
    <w:name w:val="正文文本 字符"/>
    <w:basedOn w:val="11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2861</Words>
  <Characters>2934</Characters>
  <Lines>21</Lines>
  <Paragraphs>6</Paragraphs>
  <TotalTime>0</TotalTime>
  <ScaleCrop>false</ScaleCrop>
  <LinksUpToDate>false</LinksUpToDate>
  <CharactersWithSpaces>2956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2023-09-04T07:14:00Z</dcterms:created>
  <dc:creator>lenovo</dc:creator>
  <cp:lastModifiedBy>梦想之城,</cp:lastModifiedBy>
  <dcterms:modified xsi:type="dcterms:W3CDTF">2024-10-09T07:26:57Z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A7B9E473B38D42D68D4414870834EEBA_12</vt:lpwstr>
  </property>
</Properties>
</file>