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0B8DA69">
      <w:pPr>
        <w:snapToGrid w:val="0"/>
        <w:jc w:val="center"/>
        <w:rPr>
          <w:rFonts w:ascii="楷体_GB2312"/>
          <w:sz w:val="28"/>
        </w:rPr>
      </w:pPr>
      <w:r>
        <w:rPr>
          <w:rFonts w:hint="eastAsia" w:ascii="楷体_GB2312"/>
          <w:b/>
          <w:bCs/>
          <w:sz w:val="28"/>
        </w:rPr>
        <w:t>浙江工业大学202</w:t>
      </w:r>
      <w:r>
        <w:rPr>
          <w:rFonts w:hint="eastAsia" w:ascii="楷体_GB2312"/>
          <w:b/>
          <w:bCs/>
          <w:sz w:val="28"/>
          <w:lang w:val="en-US" w:eastAsia="zh-CN"/>
        </w:rPr>
        <w:t>5</w:t>
      </w:r>
      <w:bookmarkStart w:id="0" w:name="_GoBack"/>
      <w:bookmarkEnd w:id="0"/>
      <w:r>
        <w:rPr>
          <w:rFonts w:hint="eastAsia" w:ascii="楷体_GB2312"/>
          <w:b/>
          <w:bCs/>
          <w:sz w:val="28"/>
        </w:rPr>
        <w:t>年</w:t>
      </w:r>
    </w:p>
    <w:p w14:paraId="6D962FD2">
      <w:pPr>
        <w:jc w:val="center"/>
        <w:rPr>
          <w:rFonts w:ascii="楷体_GB2312"/>
          <w:b/>
          <w:bCs/>
          <w:sz w:val="28"/>
        </w:rPr>
      </w:pPr>
      <w:r>
        <w:rPr>
          <w:rFonts w:hint="eastAsia" w:ascii="楷体_GB2312"/>
          <w:b/>
          <w:bCs/>
          <w:sz w:val="28"/>
        </w:rPr>
        <w:t>硕士研究生入学考试自命题科目考试大纲</w:t>
      </w:r>
    </w:p>
    <w:tbl>
      <w:tblPr>
        <w:tblStyle w:val="7"/>
        <w:tblW w:w="864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14"/>
        <w:gridCol w:w="6726"/>
      </w:tblGrid>
      <w:tr w14:paraId="7CB1D4F3">
        <w:tblPrEx>
          <w:tblCellMar>
            <w:top w:w="0" w:type="dxa"/>
            <w:left w:w="108" w:type="dxa"/>
            <w:bottom w:w="0" w:type="dxa"/>
            <w:right w:w="108" w:type="dxa"/>
          </w:tblCellMar>
        </w:tblPrEx>
        <w:trPr>
          <w:trHeight w:val="435" w:hRule="atLeast"/>
          <w:jc w:val="center"/>
        </w:trPr>
        <w:tc>
          <w:tcPr>
            <w:tcW w:w="1914" w:type="dxa"/>
            <w:vAlign w:val="bottom"/>
          </w:tcPr>
          <w:p w14:paraId="4D6C6189">
            <w:pPr>
              <w:spacing w:afterLines="15"/>
              <w:ind w:left="-120" w:leftChars="-50" w:right="-120" w:rightChars="-50"/>
              <w:jc w:val="center"/>
              <w:rPr>
                <w:rFonts w:ascii="宋体" w:hAnsi="宋体"/>
                <w:b/>
                <w:szCs w:val="21"/>
              </w:rPr>
            </w:pPr>
            <w:r>
              <w:rPr>
                <w:rFonts w:hint="eastAsia" w:ascii="宋体" w:hAnsi="宋体"/>
                <w:b/>
                <w:szCs w:val="21"/>
              </w:rPr>
              <w:t>科目代码、名称:</w:t>
            </w:r>
          </w:p>
        </w:tc>
        <w:tc>
          <w:tcPr>
            <w:tcW w:w="6726" w:type="dxa"/>
            <w:vAlign w:val="bottom"/>
          </w:tcPr>
          <w:p w14:paraId="0947B9F4">
            <w:pPr>
              <w:pStyle w:val="2"/>
              <w:spacing w:beforeLines="25" w:afterLines="10" w:line="240" w:lineRule="auto"/>
              <w:ind w:firstLine="964" w:firstLineChars="400"/>
              <w:rPr>
                <w:sz w:val="21"/>
                <w:szCs w:val="21"/>
              </w:rPr>
            </w:pPr>
            <w:r>
              <w:rPr>
                <w:rFonts w:hint="eastAsia" w:ascii="楷体_GB2312" w:eastAsia="楷体_GB2312"/>
                <w:sz w:val="24"/>
                <w:szCs w:val="24"/>
              </w:rPr>
              <w:t>862   普通物理</w:t>
            </w:r>
          </w:p>
        </w:tc>
      </w:tr>
      <w:tr w14:paraId="7BFAF1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914" w:type="dxa"/>
            <w:vAlign w:val="bottom"/>
          </w:tcPr>
          <w:p w14:paraId="2570181C">
            <w:pPr>
              <w:spacing w:afterLines="20"/>
              <w:ind w:left="-120" w:leftChars="-50" w:right="-120" w:rightChars="-50"/>
              <w:jc w:val="center"/>
              <w:rPr>
                <w:rFonts w:ascii="宋体" w:hAnsi="宋体"/>
                <w:b/>
                <w:szCs w:val="21"/>
              </w:rPr>
            </w:pPr>
            <w:r>
              <w:rPr>
                <w:rFonts w:hint="eastAsia" w:ascii="宋体" w:hAnsi="宋体"/>
                <w:b/>
                <w:szCs w:val="21"/>
              </w:rPr>
              <w:t>专业类别：</w:t>
            </w:r>
          </w:p>
        </w:tc>
        <w:tc>
          <w:tcPr>
            <w:tcW w:w="6726" w:type="dxa"/>
            <w:vAlign w:val="bottom"/>
          </w:tcPr>
          <w:p w14:paraId="29F60818">
            <w:pPr>
              <w:spacing w:afterLines="20"/>
              <w:ind w:left="236"/>
              <w:rPr>
                <w:rFonts w:ascii="宋体" w:hAnsi="宋体"/>
                <w:b/>
                <w:szCs w:val="21"/>
              </w:rPr>
            </w:pPr>
            <w:r>
              <w:rPr>
                <w:rFonts w:hint="eastAsia" w:ascii="楷体_GB2312" w:hAnsi="宋体"/>
                <w:b/>
                <w:szCs w:val="21"/>
              </w:rPr>
              <w:t>■</w:t>
            </w:r>
            <w:r>
              <w:rPr>
                <w:rFonts w:hint="eastAsia" w:ascii="宋体" w:hAnsi="宋体"/>
                <w:b/>
                <w:szCs w:val="21"/>
              </w:rPr>
              <w:t>学术学位     □专业学位</w:t>
            </w:r>
          </w:p>
        </w:tc>
      </w:tr>
      <w:tr w14:paraId="3BCE4C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914" w:type="dxa"/>
            <w:vAlign w:val="bottom"/>
          </w:tcPr>
          <w:p w14:paraId="43D2E8E9">
            <w:pPr>
              <w:spacing w:afterLines="20"/>
              <w:ind w:left="-120" w:leftChars="-50" w:right="-120" w:rightChars="-50"/>
              <w:jc w:val="center"/>
              <w:rPr>
                <w:rFonts w:ascii="宋体" w:hAnsi="宋体"/>
                <w:b/>
                <w:szCs w:val="21"/>
              </w:rPr>
            </w:pPr>
            <w:r>
              <w:rPr>
                <w:rFonts w:hint="eastAsia" w:ascii="宋体" w:hAnsi="宋体"/>
                <w:b/>
                <w:szCs w:val="21"/>
              </w:rPr>
              <w:t>适用专业:</w:t>
            </w:r>
          </w:p>
        </w:tc>
        <w:tc>
          <w:tcPr>
            <w:tcW w:w="6726" w:type="dxa"/>
            <w:vAlign w:val="bottom"/>
          </w:tcPr>
          <w:p w14:paraId="5DD1EE01">
            <w:pPr>
              <w:spacing w:afterLines="20"/>
              <w:rPr>
                <w:rFonts w:ascii="宋体" w:hAnsi="宋体"/>
                <w:b/>
                <w:szCs w:val="21"/>
              </w:rPr>
            </w:pPr>
            <w:r>
              <w:rPr>
                <w:rFonts w:hint="eastAsia" w:ascii="宋体" w:hAnsi="宋体"/>
                <w:b/>
                <w:szCs w:val="21"/>
              </w:rPr>
              <w:t xml:space="preserve">           物理学</w:t>
            </w:r>
          </w:p>
        </w:tc>
      </w:tr>
    </w:tbl>
    <w:p w14:paraId="3A7AB790">
      <w:pPr>
        <w:spacing w:line="400" w:lineRule="exact"/>
        <w:rPr>
          <w:rFonts w:ascii="黑体" w:eastAsia="黑体"/>
        </w:rPr>
      </w:pPr>
    </w:p>
    <w:tbl>
      <w:tblPr>
        <w:tblStyle w:val="7"/>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672E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4" w:hRule="atLeast"/>
        </w:trPr>
        <w:tc>
          <w:tcPr>
            <w:tcW w:w="9540" w:type="dxa"/>
          </w:tcPr>
          <w:p w14:paraId="2E23B3B3">
            <w:pPr>
              <w:pStyle w:val="6"/>
              <w:numPr>
                <w:ilvl w:val="0"/>
                <w:numId w:val="1"/>
              </w:numPr>
              <w:adjustRightInd w:val="0"/>
              <w:snapToGrid w:val="0"/>
              <w:spacing w:before="0" w:beforeAutospacing="0" w:after="0" w:afterAutospacing="0"/>
              <w:rPr>
                <w:rFonts w:ascii="黑体" w:hAnsi="黑体" w:eastAsia="黑体"/>
                <w:sz w:val="21"/>
                <w:szCs w:val="21"/>
              </w:rPr>
            </w:pPr>
            <w:r>
              <w:rPr>
                <w:rFonts w:hint="eastAsia" w:ascii="黑体" w:hAnsi="黑体" w:eastAsia="黑体"/>
                <w:sz w:val="21"/>
                <w:szCs w:val="21"/>
              </w:rPr>
              <w:t>基本内容</w:t>
            </w:r>
          </w:p>
          <w:p w14:paraId="43CF80F0">
            <w:pPr>
              <w:pStyle w:val="6"/>
              <w:adjustRightInd w:val="0"/>
              <w:snapToGrid w:val="0"/>
              <w:spacing w:before="0" w:beforeAutospacing="0" w:after="0" w:afterAutospacing="0"/>
              <w:ind w:left="491"/>
              <w:rPr>
                <w:rFonts w:ascii="黑体" w:hAnsi="黑体" w:eastAsia="黑体"/>
                <w:sz w:val="21"/>
                <w:szCs w:val="21"/>
              </w:rPr>
            </w:pPr>
          </w:p>
          <w:p w14:paraId="136358D6">
            <w:pPr>
              <w:pStyle w:val="6"/>
              <w:adjustRightInd w:val="0"/>
              <w:snapToGrid w:val="0"/>
              <w:spacing w:before="0" w:beforeAutospacing="0" w:after="0" w:afterAutospacing="0"/>
              <w:ind w:firstLine="420" w:firstLineChars="200"/>
              <w:rPr>
                <w:sz w:val="21"/>
                <w:szCs w:val="21"/>
              </w:rPr>
            </w:pPr>
            <w:r>
              <w:rPr>
                <w:sz w:val="21"/>
                <w:szCs w:val="21"/>
              </w:rPr>
              <w:t>“普通物理”主要内容包括力学、电磁学、热学、光学、</w:t>
            </w:r>
            <w:r>
              <w:rPr>
                <w:rFonts w:hint="eastAsia"/>
                <w:sz w:val="21"/>
                <w:szCs w:val="21"/>
              </w:rPr>
              <w:t>原子物理和</w:t>
            </w:r>
            <w:r>
              <w:rPr>
                <w:sz w:val="21"/>
                <w:szCs w:val="21"/>
              </w:rPr>
              <w:t>近代物理学</w:t>
            </w:r>
            <w:r>
              <w:rPr>
                <w:rFonts w:hint="eastAsia"/>
                <w:sz w:val="21"/>
                <w:szCs w:val="21"/>
              </w:rPr>
              <w:t>，本课程考试结合我校专业培养方向，重点在</w:t>
            </w:r>
            <w:r>
              <w:rPr>
                <w:sz w:val="21"/>
                <w:szCs w:val="21"/>
              </w:rPr>
              <w:t>光学、电磁学、</w:t>
            </w:r>
            <w:r>
              <w:rPr>
                <w:rFonts w:hint="eastAsia"/>
                <w:sz w:val="21"/>
                <w:szCs w:val="21"/>
              </w:rPr>
              <w:t>近代物理及</w:t>
            </w:r>
            <w:r>
              <w:rPr>
                <w:sz w:val="21"/>
                <w:szCs w:val="21"/>
              </w:rPr>
              <w:t>原子物理学</w:t>
            </w:r>
            <w:r>
              <w:rPr>
                <w:rFonts w:hint="eastAsia"/>
                <w:sz w:val="21"/>
                <w:szCs w:val="21"/>
              </w:rPr>
              <w:t>基础等方面内容</w:t>
            </w:r>
            <w:r>
              <w:rPr>
                <w:sz w:val="21"/>
                <w:szCs w:val="21"/>
              </w:rPr>
              <w:t>。</w:t>
            </w:r>
          </w:p>
          <w:p w14:paraId="22A7DE59">
            <w:pPr>
              <w:pStyle w:val="6"/>
              <w:adjustRightInd w:val="0"/>
              <w:snapToGrid w:val="0"/>
              <w:spacing w:before="0" w:beforeAutospacing="0" w:after="0" w:afterAutospacing="0"/>
              <w:rPr>
                <w:sz w:val="21"/>
                <w:szCs w:val="21"/>
              </w:rPr>
            </w:pPr>
            <w:r>
              <w:rPr>
                <w:sz w:val="21"/>
                <w:szCs w:val="21"/>
              </w:rPr>
              <w:t>　　</w:t>
            </w:r>
            <w:r>
              <w:rPr>
                <w:rFonts w:hint="eastAsia"/>
                <w:sz w:val="21"/>
                <w:szCs w:val="21"/>
              </w:rPr>
              <w:t xml:space="preserve"> </w:t>
            </w:r>
            <w:r>
              <w:rPr>
                <w:sz w:val="21"/>
                <w:szCs w:val="21"/>
              </w:rPr>
              <w:t>要求考生理解和掌握物理学的基本概念、原理、定律和基本实验方法，具备综合运用所学知识分析、解决问题的能力，并对物理学发展前沿有所了解。</w:t>
            </w:r>
            <w:r>
              <w:rPr>
                <w:rFonts w:hint="eastAsia"/>
                <w:sz w:val="21"/>
                <w:szCs w:val="21"/>
              </w:rPr>
              <w:t>具体内容如下：</w:t>
            </w:r>
          </w:p>
          <w:p w14:paraId="3C8EA521">
            <w:pPr>
              <w:pStyle w:val="6"/>
              <w:adjustRightInd w:val="0"/>
              <w:snapToGrid w:val="0"/>
              <w:spacing w:before="0" w:beforeAutospacing="0" w:after="0" w:afterAutospacing="0"/>
              <w:rPr>
                <w:rFonts w:ascii="黑体" w:hAnsi="黑体" w:eastAsia="黑体"/>
                <w:sz w:val="21"/>
                <w:szCs w:val="21"/>
              </w:rPr>
            </w:pPr>
            <w:r>
              <w:rPr>
                <w:sz w:val="21"/>
                <w:szCs w:val="21"/>
              </w:rPr>
              <w:t>　</w:t>
            </w:r>
            <w:r>
              <w:rPr>
                <w:rFonts w:hint="eastAsia"/>
                <w:sz w:val="21"/>
                <w:szCs w:val="21"/>
              </w:rPr>
              <w:t xml:space="preserve">  </w:t>
            </w:r>
            <w:r>
              <w:rPr>
                <w:rFonts w:hint="eastAsia" w:ascii="黑体" w:hAnsi="黑体" w:eastAsia="黑体"/>
                <w:sz w:val="21"/>
                <w:szCs w:val="21"/>
              </w:rPr>
              <w:t xml:space="preserve"> </w:t>
            </w:r>
            <w:r>
              <w:rPr>
                <w:rFonts w:ascii="黑体" w:hAnsi="黑体" w:eastAsia="黑体"/>
                <w:sz w:val="21"/>
                <w:szCs w:val="21"/>
              </w:rPr>
              <w:t>1、力学</w:t>
            </w:r>
          </w:p>
          <w:p w14:paraId="295A64D6">
            <w:pPr>
              <w:pStyle w:val="6"/>
              <w:adjustRightInd w:val="0"/>
              <w:snapToGrid w:val="0"/>
              <w:spacing w:before="0" w:beforeAutospacing="0" w:after="0" w:afterAutospacing="0"/>
              <w:rPr>
                <w:sz w:val="21"/>
                <w:szCs w:val="21"/>
              </w:rPr>
            </w:pPr>
            <w:r>
              <w:rPr>
                <w:sz w:val="21"/>
                <w:szCs w:val="21"/>
              </w:rPr>
              <w:t>　　（1）质点运动学</w:t>
            </w:r>
            <w:r>
              <w:rPr>
                <w:rFonts w:hint="eastAsia"/>
                <w:sz w:val="21"/>
                <w:szCs w:val="21"/>
              </w:rPr>
              <w:t>，掌握运动描述的相对性、瞬时性、矢量性和叠加性，以及在各种主要坐标系（直角坐标、极坐标和平面自然坐标）</w:t>
            </w:r>
            <w:r>
              <w:rPr>
                <w:rFonts w:hint="eastAsia"/>
                <w:sz w:val="21"/>
                <w:szCs w:val="21"/>
                <w:lang w:val="en-US" w:eastAsia="zh-CN"/>
              </w:rPr>
              <w:t>中</w:t>
            </w:r>
            <w:r>
              <w:rPr>
                <w:rFonts w:hint="eastAsia"/>
                <w:sz w:val="21"/>
                <w:szCs w:val="21"/>
              </w:rPr>
              <w:t>的表示。</w:t>
            </w:r>
          </w:p>
          <w:p w14:paraId="17DA660C">
            <w:pPr>
              <w:pStyle w:val="6"/>
              <w:adjustRightInd w:val="0"/>
              <w:snapToGrid w:val="0"/>
              <w:spacing w:before="0" w:beforeAutospacing="0" w:after="0" w:afterAutospacing="0"/>
              <w:ind w:firstLine="420"/>
              <w:rPr>
                <w:sz w:val="21"/>
                <w:szCs w:val="21"/>
              </w:rPr>
            </w:pPr>
            <w:r>
              <w:rPr>
                <w:sz w:val="21"/>
                <w:szCs w:val="21"/>
              </w:rPr>
              <w:t>（2）掌握牛顿三</w:t>
            </w:r>
            <w:r>
              <w:rPr>
                <w:rFonts w:hint="eastAsia"/>
                <w:sz w:val="21"/>
                <w:szCs w:val="21"/>
                <w:lang w:val="en-US" w:eastAsia="zh-CN"/>
              </w:rPr>
              <w:t>大</w:t>
            </w:r>
            <w:r>
              <w:rPr>
                <w:sz w:val="21"/>
                <w:szCs w:val="21"/>
              </w:rPr>
              <w:t>定律及其适用条件</w:t>
            </w:r>
            <w:r>
              <w:rPr>
                <w:rFonts w:hint="eastAsia"/>
                <w:sz w:val="21"/>
                <w:szCs w:val="21"/>
              </w:rPr>
              <w:t>，</w:t>
            </w:r>
            <w:r>
              <w:rPr>
                <w:sz w:val="21"/>
                <w:szCs w:val="21"/>
              </w:rPr>
              <w:t>掌握</w:t>
            </w:r>
            <w:r>
              <w:rPr>
                <w:rFonts w:hint="eastAsia"/>
                <w:sz w:val="21"/>
                <w:szCs w:val="21"/>
                <w:lang w:val="en-US" w:eastAsia="zh-CN"/>
              </w:rPr>
              <w:t>利用</w:t>
            </w:r>
            <w:r>
              <w:rPr>
                <w:sz w:val="21"/>
                <w:szCs w:val="21"/>
              </w:rPr>
              <w:t>牛顿运动定律解题的基本思路和方法，能根据受力情况建立运动微分方程，并结合初始条件求解运动方程。</w:t>
            </w:r>
          </w:p>
          <w:p w14:paraId="743D1B4D">
            <w:pPr>
              <w:adjustRightInd w:val="0"/>
              <w:snapToGrid w:val="0"/>
              <w:ind w:firstLine="420" w:firstLineChars="200"/>
              <w:rPr>
                <w:rFonts w:ascii="宋体" w:hAnsi="宋体" w:eastAsia="宋体"/>
                <w:kern w:val="0"/>
                <w:sz w:val="21"/>
                <w:szCs w:val="21"/>
              </w:rPr>
            </w:pPr>
            <w:r>
              <w:rPr>
                <w:rFonts w:ascii="宋体" w:hAnsi="宋体" w:eastAsia="宋体"/>
                <w:kern w:val="0"/>
                <w:sz w:val="21"/>
                <w:szCs w:val="21"/>
              </w:rPr>
              <w:t>（3）</w:t>
            </w:r>
            <w:r>
              <w:rPr>
                <w:rFonts w:hint="eastAsia" w:ascii="宋体" w:hAnsi="宋体" w:eastAsia="宋体"/>
                <w:kern w:val="0"/>
                <w:sz w:val="21"/>
                <w:szCs w:val="21"/>
              </w:rPr>
              <w:t>掌握三大定理及守恒定律，并能</w:t>
            </w:r>
            <w:r>
              <w:rPr>
                <w:rFonts w:ascii="宋体" w:hAnsi="宋体" w:eastAsia="宋体"/>
                <w:kern w:val="0"/>
                <w:sz w:val="21"/>
                <w:szCs w:val="21"/>
              </w:rPr>
              <w:t>用于解决一般的力学问题</w:t>
            </w:r>
            <w:r>
              <w:rPr>
                <w:rFonts w:hint="eastAsia" w:ascii="宋体" w:hAnsi="宋体" w:eastAsia="宋体"/>
                <w:kern w:val="0"/>
                <w:sz w:val="21"/>
                <w:szCs w:val="21"/>
              </w:rPr>
              <w:t>（质点、质点系和刚体等）</w:t>
            </w:r>
          </w:p>
          <w:p w14:paraId="784C8A2B">
            <w:pPr>
              <w:pStyle w:val="6"/>
              <w:adjustRightInd w:val="0"/>
              <w:snapToGrid w:val="0"/>
              <w:spacing w:before="0" w:beforeAutospacing="0" w:after="0" w:afterAutospacing="0"/>
              <w:rPr>
                <w:rFonts w:ascii="黑体" w:hAnsi="黑体" w:eastAsia="黑体"/>
                <w:sz w:val="21"/>
                <w:szCs w:val="21"/>
              </w:rPr>
            </w:pPr>
            <w:r>
              <w:rPr>
                <w:rFonts w:hint="eastAsia"/>
                <w:sz w:val="21"/>
                <w:szCs w:val="21"/>
              </w:rPr>
              <w:t xml:space="preserve">  </w:t>
            </w:r>
            <w:r>
              <w:rPr>
                <w:rFonts w:hint="eastAsia" w:ascii="黑体" w:hAnsi="黑体" w:eastAsia="黑体"/>
                <w:sz w:val="21"/>
                <w:szCs w:val="21"/>
              </w:rPr>
              <w:t xml:space="preserve">   </w:t>
            </w:r>
            <w:r>
              <w:rPr>
                <w:rFonts w:ascii="黑体" w:hAnsi="黑体" w:eastAsia="黑体"/>
                <w:sz w:val="21"/>
                <w:szCs w:val="21"/>
              </w:rPr>
              <w:t>2、电磁学</w:t>
            </w:r>
          </w:p>
          <w:p w14:paraId="54B1EDF6">
            <w:pPr>
              <w:adjustRightInd w:val="0"/>
              <w:snapToGrid w:val="0"/>
              <w:ind w:firstLine="420" w:firstLineChars="200"/>
              <w:rPr>
                <w:rFonts w:ascii="宋体" w:hAnsi="宋体" w:eastAsia="宋体"/>
                <w:kern w:val="0"/>
                <w:sz w:val="21"/>
                <w:szCs w:val="21"/>
              </w:rPr>
            </w:pPr>
            <w:r>
              <w:rPr>
                <w:rFonts w:hint="eastAsia" w:ascii="宋体" w:hAnsi="宋体" w:eastAsia="宋体"/>
                <w:kern w:val="0"/>
                <w:sz w:val="21"/>
                <w:szCs w:val="21"/>
              </w:rPr>
              <w:t>（1）</w:t>
            </w:r>
            <w:r>
              <w:rPr>
                <w:rFonts w:ascii="宋体" w:hAnsi="宋体" w:eastAsia="宋体"/>
                <w:kern w:val="0"/>
                <w:sz w:val="21"/>
                <w:szCs w:val="21"/>
              </w:rPr>
              <w:t>静电场。掌握静电场的电场强度和电势的概念，以及计算电场强度和电势的几种主要方法。理解静电场的两条基本定理：高斯定理和环路定理。熟练掌握用高斯定理计算场强的条件和方法。</w:t>
            </w:r>
            <w:r>
              <w:rPr>
                <w:rFonts w:hint="eastAsia" w:ascii="宋体" w:hAnsi="宋体" w:eastAsia="宋体"/>
                <w:kern w:val="0"/>
                <w:sz w:val="21"/>
                <w:szCs w:val="21"/>
              </w:rPr>
              <w:t>掌握静电平衡的条件和性质，理解静电屏蔽及静电的应用，能计算处于静电平衡中简单导体的电荷分布、电场和电势。理解电介质极化和极化强度；理解电位移矢量和介质中的高斯定理，能应用介质中的高斯定理讨论物理问题；掌握典型电容器电容计算方法和电容串、并联公式。掌握电荷系的静电能、电容器的能量、静电场的能量公式；了解电流密度、欧姆定律的微分形式等。</w:t>
            </w:r>
          </w:p>
          <w:p w14:paraId="50AEA472">
            <w:pPr>
              <w:pStyle w:val="6"/>
              <w:adjustRightInd w:val="0"/>
              <w:snapToGrid w:val="0"/>
              <w:spacing w:before="0" w:beforeAutospacing="0" w:after="0" w:afterAutospacing="0"/>
              <w:rPr>
                <w:sz w:val="21"/>
                <w:szCs w:val="21"/>
              </w:rPr>
            </w:pPr>
            <w:r>
              <w:rPr>
                <w:sz w:val="21"/>
                <w:szCs w:val="21"/>
              </w:rPr>
              <w:t>　　（</w:t>
            </w:r>
            <w:r>
              <w:rPr>
                <w:rFonts w:hint="eastAsia"/>
                <w:sz w:val="21"/>
                <w:szCs w:val="21"/>
              </w:rPr>
              <w:t>2</w:t>
            </w:r>
            <w:r>
              <w:rPr>
                <w:sz w:val="21"/>
                <w:szCs w:val="21"/>
              </w:rPr>
              <w:t>）恒定磁场。掌握磁感应强度的概念及毕奥－萨伐尔定律，能计算一些简单问题中的磁感应强度和磁通量。用已知典型电流的磁场的叠加求出未知磁场的分布。理解稳恒磁场的高斯定理和安培环路定理，掌握用安培环路定理计算磁感应强度的条件和方法。</w:t>
            </w:r>
          </w:p>
          <w:p w14:paraId="20D7CC04">
            <w:pPr>
              <w:pStyle w:val="6"/>
              <w:adjustRightInd w:val="0"/>
              <w:snapToGrid w:val="0"/>
              <w:spacing w:before="0" w:beforeAutospacing="0" w:after="0" w:afterAutospacing="0"/>
              <w:rPr>
                <w:sz w:val="21"/>
                <w:szCs w:val="21"/>
              </w:rPr>
            </w:pPr>
            <w:r>
              <w:rPr>
                <w:sz w:val="21"/>
                <w:szCs w:val="21"/>
              </w:rPr>
              <w:t>　　（</w:t>
            </w:r>
            <w:r>
              <w:rPr>
                <w:rFonts w:hint="eastAsia"/>
                <w:sz w:val="21"/>
                <w:szCs w:val="21"/>
              </w:rPr>
              <w:t>3</w:t>
            </w:r>
            <w:r>
              <w:rPr>
                <w:sz w:val="21"/>
                <w:szCs w:val="21"/>
              </w:rPr>
              <w:t>）电磁感应。掌握法拉第电磁感应定律，理解动生电动势及感生电动势的本质，并掌握计算它们的方法。了解漩涡电场的概念。了解介质的磁化现象及其微观解释。了解铁磁质的特性，了解各向同性介质中H和B之间的关系和区别。理解自感系数和互感系数的定义及其物理意义，理解磁能密度的概念，并计算典型磁场的磁能。了解位移电流的概念，并能计算简单的情况下的位移电流。了解麦克斯韦方程组（积分形式）的物理意义，以及电磁场的物质性。</w:t>
            </w:r>
            <w:r>
              <w:rPr>
                <w:rFonts w:hint="eastAsia"/>
                <w:sz w:val="21"/>
                <w:szCs w:val="21"/>
              </w:rPr>
              <w:t>理解电磁波的形成和传播特点。</w:t>
            </w:r>
          </w:p>
          <w:p w14:paraId="115F06EB">
            <w:pPr>
              <w:pStyle w:val="6"/>
              <w:adjustRightInd w:val="0"/>
              <w:snapToGrid w:val="0"/>
              <w:spacing w:before="0" w:beforeAutospacing="0" w:after="0" w:afterAutospacing="0"/>
              <w:rPr>
                <w:rFonts w:ascii="黑体" w:hAnsi="黑体" w:eastAsia="黑体"/>
                <w:sz w:val="21"/>
                <w:szCs w:val="21"/>
              </w:rPr>
            </w:pPr>
            <w:r>
              <w:rPr>
                <w:rFonts w:ascii="黑体" w:hAnsi="黑体" w:eastAsia="黑体"/>
                <w:sz w:val="21"/>
                <w:szCs w:val="21"/>
              </w:rPr>
              <w:t>　</w:t>
            </w:r>
            <w:r>
              <w:rPr>
                <w:rFonts w:hint="eastAsia" w:ascii="黑体" w:hAnsi="黑体" w:eastAsia="黑体"/>
                <w:sz w:val="21"/>
                <w:szCs w:val="21"/>
              </w:rPr>
              <w:t xml:space="preserve">   </w:t>
            </w:r>
            <w:r>
              <w:rPr>
                <w:rFonts w:ascii="黑体" w:hAnsi="黑体" w:eastAsia="黑体"/>
                <w:sz w:val="21"/>
                <w:szCs w:val="21"/>
              </w:rPr>
              <w:t>3、热学</w:t>
            </w:r>
          </w:p>
          <w:p w14:paraId="50AAABF1">
            <w:pPr>
              <w:pStyle w:val="6"/>
              <w:adjustRightInd w:val="0"/>
              <w:snapToGrid w:val="0"/>
              <w:spacing w:before="0" w:beforeAutospacing="0" w:after="0" w:afterAutospacing="0"/>
              <w:ind w:firstLine="420" w:firstLineChars="200"/>
              <w:rPr>
                <w:sz w:val="21"/>
                <w:szCs w:val="21"/>
              </w:rPr>
            </w:pPr>
            <w:r>
              <w:rPr>
                <w:sz w:val="21"/>
                <w:szCs w:val="21"/>
              </w:rPr>
              <w:t>（</w:t>
            </w:r>
            <w:r>
              <w:rPr>
                <w:rFonts w:hint="eastAsia"/>
                <w:sz w:val="21"/>
                <w:szCs w:val="21"/>
              </w:rPr>
              <w:t>1</w:t>
            </w:r>
            <w:r>
              <w:rPr>
                <w:sz w:val="21"/>
                <w:szCs w:val="21"/>
              </w:rPr>
              <w:t>）掌握热力学第一定律。能熟练地分析、计算理想气体各等值过程和绝热过程中的功、热量、内能的改变量。</w:t>
            </w:r>
            <w:r>
              <w:rPr>
                <w:rFonts w:hint="eastAsia"/>
                <w:sz w:val="21"/>
                <w:szCs w:val="21"/>
              </w:rPr>
              <w:t>理解热力学循环过程，会计算热机效率。理</w:t>
            </w:r>
            <w:r>
              <w:rPr>
                <w:sz w:val="21"/>
                <w:szCs w:val="21"/>
              </w:rPr>
              <w:t>解热力学第二定律的统计意义</w:t>
            </w:r>
            <w:r>
              <w:rPr>
                <w:rFonts w:hint="eastAsia"/>
                <w:sz w:val="21"/>
                <w:szCs w:val="21"/>
              </w:rPr>
              <w:t>和</w:t>
            </w:r>
            <w:r>
              <w:rPr>
                <w:sz w:val="21"/>
                <w:szCs w:val="21"/>
              </w:rPr>
              <w:t>熵的概念。</w:t>
            </w:r>
          </w:p>
          <w:p w14:paraId="350E4FEA">
            <w:pPr>
              <w:pStyle w:val="6"/>
              <w:adjustRightInd w:val="0"/>
              <w:snapToGrid w:val="0"/>
              <w:spacing w:before="0" w:beforeAutospacing="0" w:after="0" w:afterAutospacing="0"/>
              <w:rPr>
                <w:sz w:val="21"/>
                <w:szCs w:val="21"/>
              </w:rPr>
            </w:pPr>
            <w:r>
              <w:rPr>
                <w:sz w:val="21"/>
                <w:szCs w:val="21"/>
              </w:rPr>
              <w:t>　　（</w:t>
            </w:r>
            <w:r>
              <w:rPr>
                <w:rFonts w:hint="eastAsia"/>
                <w:sz w:val="21"/>
                <w:szCs w:val="21"/>
              </w:rPr>
              <w:t>2</w:t>
            </w:r>
            <w:r>
              <w:rPr>
                <w:sz w:val="21"/>
                <w:szCs w:val="21"/>
              </w:rPr>
              <w:t>）气体分子运动论。掌握理想气体状态方程及其应用。理解理想气体压强公式和温度公式的物理意义。了解从提出模型、进行统计平均、建立宏观量与微观量的联系到阐明宏观量的微观本质的方法。理解能量按自由度均分原理，并能熟练用于理想气体内能的计算。了解麦克斯韦速率分布律、速率分布函数和速率分布曲线的物理意义，三种速率的求法和意义。了解波尔兹曼分布律，气体分子的平均碰撞次数及平均自由程的概念。</w:t>
            </w:r>
          </w:p>
          <w:p w14:paraId="68F1275A">
            <w:pPr>
              <w:pStyle w:val="6"/>
              <w:adjustRightInd w:val="0"/>
              <w:snapToGrid w:val="0"/>
              <w:spacing w:before="0" w:beforeAutospacing="0" w:after="0" w:afterAutospacing="0"/>
              <w:rPr>
                <w:sz w:val="21"/>
                <w:szCs w:val="21"/>
              </w:rPr>
            </w:pPr>
            <w:r>
              <w:rPr>
                <w:sz w:val="21"/>
                <w:szCs w:val="21"/>
              </w:rPr>
              <w:t>　</w:t>
            </w:r>
            <w:r>
              <w:rPr>
                <w:rFonts w:hint="eastAsia"/>
                <w:sz w:val="21"/>
                <w:szCs w:val="21"/>
              </w:rPr>
              <w:t xml:space="preserve"> </w:t>
            </w:r>
            <w:r>
              <w:rPr>
                <w:rFonts w:hint="eastAsia" w:ascii="黑体" w:hAnsi="黑体" w:eastAsia="黑体"/>
                <w:sz w:val="21"/>
                <w:szCs w:val="21"/>
              </w:rPr>
              <w:t xml:space="preserve">  </w:t>
            </w:r>
            <w:r>
              <w:rPr>
                <w:rFonts w:ascii="黑体" w:hAnsi="黑体" w:eastAsia="黑体"/>
                <w:sz w:val="21"/>
                <w:szCs w:val="21"/>
              </w:rPr>
              <w:t>4、振动与波</w:t>
            </w:r>
          </w:p>
          <w:p w14:paraId="248A400E">
            <w:pPr>
              <w:rPr>
                <w:rFonts w:ascii="宋体" w:hAnsi="宋体" w:eastAsia="宋体"/>
                <w:kern w:val="0"/>
                <w:sz w:val="21"/>
                <w:szCs w:val="21"/>
              </w:rPr>
            </w:pPr>
            <w:r>
              <w:rPr>
                <w:rFonts w:ascii="宋体" w:hAnsi="宋体" w:eastAsia="宋体"/>
                <w:kern w:val="0"/>
                <w:sz w:val="21"/>
                <w:szCs w:val="21"/>
              </w:rPr>
              <w:t>　　（</w:t>
            </w:r>
            <w:r>
              <w:rPr>
                <w:rFonts w:hint="eastAsia" w:ascii="宋体" w:hAnsi="宋体" w:eastAsia="宋体"/>
                <w:kern w:val="0"/>
                <w:sz w:val="21"/>
                <w:szCs w:val="21"/>
              </w:rPr>
              <w:t>1</w:t>
            </w:r>
            <w:r>
              <w:rPr>
                <w:rFonts w:ascii="宋体" w:hAnsi="宋体" w:eastAsia="宋体"/>
                <w:kern w:val="0"/>
                <w:sz w:val="21"/>
                <w:szCs w:val="21"/>
              </w:rPr>
              <w:t>）机械振动。掌握描述简谐振动的物理量</w:t>
            </w:r>
            <w:r>
              <w:rPr>
                <w:rFonts w:hint="eastAsia" w:ascii="宋体" w:hAnsi="宋体" w:eastAsia="宋体"/>
                <w:kern w:val="0"/>
                <w:sz w:val="21"/>
                <w:szCs w:val="21"/>
                <w:lang w:eastAsia="zh-CN"/>
              </w:rPr>
              <w:t>、</w:t>
            </w:r>
            <w:r>
              <w:rPr>
                <w:rFonts w:ascii="宋体" w:hAnsi="宋体" w:eastAsia="宋体"/>
                <w:kern w:val="0"/>
                <w:sz w:val="21"/>
                <w:szCs w:val="21"/>
              </w:rPr>
              <w:t>特别是位相的物理意义及各量之间的相互关系，</w:t>
            </w:r>
            <w:r>
              <w:rPr>
                <w:rFonts w:hint="eastAsia" w:ascii="宋体" w:hAnsi="宋体" w:eastAsia="宋体"/>
                <w:kern w:val="0"/>
                <w:sz w:val="21"/>
                <w:szCs w:val="21"/>
                <w:lang w:val="en-US" w:eastAsia="zh-CN"/>
              </w:rPr>
              <w:t>掌握</w:t>
            </w:r>
            <w:r>
              <w:rPr>
                <w:rFonts w:ascii="宋体" w:hAnsi="宋体" w:eastAsia="宋体"/>
                <w:kern w:val="0"/>
                <w:sz w:val="21"/>
                <w:szCs w:val="21"/>
              </w:rPr>
              <w:t>旋转矢量法，</w:t>
            </w:r>
            <w:r>
              <w:rPr>
                <w:rFonts w:hint="eastAsia" w:ascii="宋体" w:hAnsi="宋体" w:eastAsia="宋体"/>
                <w:kern w:val="0"/>
                <w:sz w:val="21"/>
                <w:szCs w:val="21"/>
                <w:lang w:val="en-US" w:eastAsia="zh-CN"/>
              </w:rPr>
              <w:t>理解</w:t>
            </w:r>
            <w:r>
              <w:rPr>
                <w:rFonts w:ascii="宋体" w:hAnsi="宋体" w:eastAsia="宋体"/>
                <w:kern w:val="0"/>
                <w:sz w:val="21"/>
                <w:szCs w:val="21"/>
              </w:rPr>
              <w:t>谐振动的基本特征。能建立弹簧振子或单摆谐振动的微分方程。能根据给定的初始条件写出一维振动的运动方程，并理解其物理意义。理解两个同方向同频率谐振动的合成规律，掌握合振动振幅极大和极小的条件。</w:t>
            </w:r>
            <w:r>
              <w:rPr>
                <w:rFonts w:hint="eastAsia" w:ascii="宋体" w:hAnsi="宋体" w:eastAsia="宋体"/>
                <w:kern w:val="0"/>
                <w:sz w:val="21"/>
                <w:szCs w:val="21"/>
              </w:rPr>
              <w:t>了解拍现象和拍频，两个相互垂直不同频率简谐振动的合成，理解李萨如图的形成。</w:t>
            </w:r>
          </w:p>
          <w:p w14:paraId="1D63C724">
            <w:pPr>
              <w:pStyle w:val="6"/>
              <w:adjustRightInd w:val="0"/>
              <w:snapToGrid w:val="0"/>
              <w:spacing w:before="0" w:beforeAutospacing="0" w:after="0" w:afterAutospacing="0"/>
              <w:ind w:firstLine="420" w:firstLineChars="200"/>
              <w:rPr>
                <w:sz w:val="21"/>
                <w:szCs w:val="21"/>
              </w:rPr>
            </w:pPr>
            <w:r>
              <w:rPr>
                <w:sz w:val="21"/>
                <w:szCs w:val="21"/>
              </w:rPr>
              <w:t>（2）机械波。掌握描述简谐波动的各物理量的物理意义及各量之间的相互关系。理解机械波产生的条件。掌握根据已知质点的谐振动方程建立平面简谐波的波动方程的方法，以及波动方程的物理意义。理解波形曲线。了解波的能量传播特征及能流密度等概念。理解惠更斯原理和波的叠加原理。掌握波的相干条件。能应用相位差或波程差概念分析和确定相干波叠加后振幅加强和减弱的条件。理解驻波及其形成条件，驻波和行波的区别</w:t>
            </w:r>
            <w:r>
              <w:rPr>
                <w:rFonts w:hint="eastAsia"/>
                <w:sz w:val="21"/>
                <w:szCs w:val="21"/>
              </w:rPr>
              <w:t>，理解简</w:t>
            </w:r>
            <w:r>
              <w:rPr>
                <w:rFonts w:hint="eastAsia"/>
                <w:sz w:val="21"/>
                <w:szCs w:val="21"/>
                <w:lang w:val="en-US" w:eastAsia="zh-CN"/>
              </w:rPr>
              <w:t>正模式</w:t>
            </w:r>
            <w:r>
              <w:rPr>
                <w:rFonts w:hint="eastAsia"/>
                <w:sz w:val="21"/>
                <w:szCs w:val="21"/>
              </w:rPr>
              <w:t>。理解</w:t>
            </w:r>
            <w:r>
              <w:rPr>
                <w:sz w:val="21"/>
                <w:szCs w:val="21"/>
              </w:rPr>
              <w:t>多普勒效应及其产生的原因。</w:t>
            </w:r>
          </w:p>
          <w:p w14:paraId="5C069201">
            <w:pPr>
              <w:pStyle w:val="6"/>
              <w:adjustRightInd w:val="0"/>
              <w:snapToGrid w:val="0"/>
              <w:spacing w:before="0" w:beforeAutospacing="0" w:after="0" w:afterAutospacing="0"/>
              <w:rPr>
                <w:sz w:val="21"/>
                <w:szCs w:val="21"/>
              </w:rPr>
            </w:pPr>
            <w:r>
              <w:rPr>
                <w:rFonts w:hint="eastAsia"/>
                <w:sz w:val="21"/>
                <w:szCs w:val="21"/>
              </w:rPr>
              <w:t xml:space="preserve">     </w:t>
            </w:r>
            <w:r>
              <w:rPr>
                <w:rFonts w:ascii="黑体" w:hAnsi="黑体" w:eastAsia="黑体"/>
                <w:sz w:val="21"/>
                <w:szCs w:val="21"/>
              </w:rPr>
              <w:t>5、波动光学</w:t>
            </w:r>
          </w:p>
          <w:p w14:paraId="19B83A63">
            <w:pPr>
              <w:pStyle w:val="6"/>
              <w:adjustRightInd w:val="0"/>
              <w:snapToGrid w:val="0"/>
              <w:spacing w:before="0" w:beforeAutospacing="0" w:after="0" w:afterAutospacing="0"/>
              <w:rPr>
                <w:sz w:val="21"/>
                <w:szCs w:val="21"/>
              </w:rPr>
            </w:pPr>
            <w:r>
              <w:rPr>
                <w:sz w:val="21"/>
                <w:szCs w:val="21"/>
              </w:rPr>
              <w:t>　　（</w:t>
            </w:r>
            <w:r>
              <w:rPr>
                <w:rFonts w:hint="eastAsia"/>
                <w:sz w:val="21"/>
                <w:szCs w:val="21"/>
              </w:rPr>
              <w:t>1</w:t>
            </w:r>
            <w:r>
              <w:rPr>
                <w:sz w:val="21"/>
                <w:szCs w:val="21"/>
              </w:rPr>
              <w:t>）光的干涉。掌握光程差与位相差的关系，会运用光程差的概念分析干涉现象的有关问题，会判断半波损失。</w:t>
            </w:r>
            <w:r>
              <w:rPr>
                <w:rFonts w:hint="eastAsia"/>
                <w:sz w:val="21"/>
                <w:szCs w:val="21"/>
              </w:rPr>
              <w:t>理</w:t>
            </w:r>
            <w:r>
              <w:rPr>
                <w:sz w:val="21"/>
                <w:szCs w:val="21"/>
              </w:rPr>
              <w:t>解分波阵面法和分振幅法两种获得相干光的方法，重点掌握杨氏双缝干涉、劈尖干涉和牛顿环干涉的条纹分布特征及其有关规律。掌握增透膜和增反膜的工作原理和应用。</w:t>
            </w:r>
            <w:r>
              <w:rPr>
                <w:rFonts w:hint="eastAsia"/>
                <w:sz w:val="21"/>
                <w:szCs w:val="21"/>
              </w:rPr>
              <w:t>理</w:t>
            </w:r>
            <w:r>
              <w:rPr>
                <w:sz w:val="21"/>
                <w:szCs w:val="21"/>
              </w:rPr>
              <w:t>解迈克尔逊干涉仪的工作原理。</w:t>
            </w:r>
          </w:p>
          <w:p w14:paraId="508C5164">
            <w:pPr>
              <w:pStyle w:val="6"/>
              <w:adjustRightInd w:val="0"/>
              <w:snapToGrid w:val="0"/>
              <w:spacing w:before="0" w:beforeAutospacing="0" w:after="0" w:afterAutospacing="0"/>
              <w:rPr>
                <w:sz w:val="21"/>
                <w:szCs w:val="21"/>
              </w:rPr>
            </w:pPr>
            <w:r>
              <w:rPr>
                <w:sz w:val="21"/>
                <w:szCs w:val="21"/>
              </w:rPr>
              <w:t>　　（</w:t>
            </w:r>
            <w:r>
              <w:rPr>
                <w:rFonts w:hint="eastAsia"/>
                <w:sz w:val="21"/>
                <w:szCs w:val="21"/>
              </w:rPr>
              <w:t>2</w:t>
            </w:r>
            <w:r>
              <w:rPr>
                <w:sz w:val="21"/>
                <w:szCs w:val="21"/>
              </w:rPr>
              <w:t>）光的衍射。理解惠更斯－菲涅尔原理中包含的基本概念。掌握用波带法分析单缝夫</w:t>
            </w:r>
            <w:r>
              <w:rPr>
                <w:rFonts w:hint="eastAsia"/>
                <w:sz w:val="21"/>
                <w:szCs w:val="21"/>
                <w:lang w:val="en-US" w:eastAsia="zh-CN"/>
              </w:rPr>
              <w:t>琅</w:t>
            </w:r>
            <w:r>
              <w:rPr>
                <w:sz w:val="21"/>
                <w:szCs w:val="21"/>
              </w:rPr>
              <w:t>和费衍射条纹的产生及暗纹位置的计算。会分析缝宽及波长对衍射条纹分布的影响。</w:t>
            </w:r>
            <w:r>
              <w:rPr>
                <w:rFonts w:hint="eastAsia"/>
                <w:sz w:val="21"/>
                <w:szCs w:val="21"/>
              </w:rPr>
              <w:t>了解圆孔衍射，理解光学仪器的分辨本领。掌握</w:t>
            </w:r>
            <w:r>
              <w:rPr>
                <w:sz w:val="21"/>
                <w:szCs w:val="21"/>
              </w:rPr>
              <w:t>光栅衍射条纹的特点及产生这些特点的原因，掌握用光栅方程计算谱线位置的方法。会分析光栅常数及波长对光栅衍射谱线的影响。</w:t>
            </w:r>
            <w:r>
              <w:rPr>
                <w:rFonts w:hint="eastAsia"/>
                <w:sz w:val="21"/>
                <w:szCs w:val="21"/>
              </w:rPr>
              <w:t>了解X射线衍射现象，理解布</w:t>
            </w:r>
            <w:r>
              <w:rPr>
                <w:rFonts w:hint="eastAsia"/>
                <w:sz w:val="21"/>
                <w:szCs w:val="21"/>
                <w:lang w:val="en-US" w:eastAsia="zh-CN"/>
              </w:rPr>
              <w:t>拉</w:t>
            </w:r>
            <w:r>
              <w:rPr>
                <w:rFonts w:hint="eastAsia"/>
                <w:sz w:val="21"/>
                <w:szCs w:val="21"/>
              </w:rPr>
              <w:t>格衍射公式。</w:t>
            </w:r>
          </w:p>
          <w:p w14:paraId="41760295">
            <w:pPr>
              <w:adjustRightInd w:val="0"/>
              <w:snapToGrid w:val="0"/>
              <w:ind w:firstLine="420"/>
              <w:rPr>
                <w:rFonts w:ascii="宋体" w:hAnsi="宋体" w:eastAsia="宋体"/>
                <w:kern w:val="0"/>
                <w:sz w:val="21"/>
                <w:szCs w:val="21"/>
              </w:rPr>
            </w:pPr>
            <w:r>
              <w:rPr>
                <w:rFonts w:ascii="宋体" w:hAnsi="宋体" w:eastAsia="宋体"/>
                <w:kern w:val="0"/>
                <w:sz w:val="21"/>
                <w:szCs w:val="21"/>
              </w:rPr>
              <w:t>（</w:t>
            </w:r>
            <w:r>
              <w:rPr>
                <w:rFonts w:hint="eastAsia" w:ascii="宋体" w:hAnsi="宋体" w:eastAsia="宋体"/>
                <w:kern w:val="0"/>
                <w:sz w:val="21"/>
                <w:szCs w:val="21"/>
              </w:rPr>
              <w:t>3</w:t>
            </w:r>
            <w:r>
              <w:rPr>
                <w:rFonts w:ascii="宋体" w:hAnsi="宋体" w:eastAsia="宋体"/>
                <w:kern w:val="0"/>
                <w:sz w:val="21"/>
                <w:szCs w:val="21"/>
              </w:rPr>
              <w:t>）光的偏振。理解自然光和线偏振光，光的其它偏振状态。理解用偏振片起偏和检偏的意义，</w:t>
            </w:r>
            <w:r>
              <w:rPr>
                <w:rFonts w:hint="eastAsia" w:ascii="宋体" w:hAnsi="宋体" w:eastAsia="宋体"/>
                <w:kern w:val="0"/>
                <w:sz w:val="21"/>
                <w:szCs w:val="21"/>
              </w:rPr>
              <w:t>掌握</w:t>
            </w:r>
            <w:r>
              <w:rPr>
                <w:rFonts w:ascii="宋体" w:hAnsi="宋体" w:eastAsia="宋体"/>
                <w:kern w:val="0"/>
                <w:sz w:val="21"/>
                <w:szCs w:val="21"/>
              </w:rPr>
              <w:t>马吕斯定律。</w:t>
            </w:r>
            <w:r>
              <w:rPr>
                <w:rFonts w:hint="eastAsia" w:ascii="宋体" w:hAnsi="宋体" w:eastAsia="宋体"/>
                <w:kern w:val="0"/>
                <w:sz w:val="21"/>
                <w:szCs w:val="21"/>
              </w:rPr>
              <w:t>理</w:t>
            </w:r>
            <w:r>
              <w:rPr>
                <w:rFonts w:ascii="宋体" w:hAnsi="宋体" w:eastAsia="宋体"/>
                <w:kern w:val="0"/>
                <w:sz w:val="21"/>
                <w:szCs w:val="21"/>
              </w:rPr>
              <w:t>解光在反射和折射时偏振状态的变化，</w:t>
            </w:r>
            <w:r>
              <w:rPr>
                <w:rFonts w:hint="eastAsia" w:ascii="宋体" w:hAnsi="宋体" w:eastAsia="宋体"/>
                <w:kern w:val="0"/>
                <w:sz w:val="21"/>
                <w:szCs w:val="21"/>
              </w:rPr>
              <w:t>掌握</w:t>
            </w:r>
            <w:r>
              <w:rPr>
                <w:rFonts w:ascii="宋体" w:hAnsi="宋体" w:eastAsia="宋体"/>
                <w:kern w:val="0"/>
                <w:sz w:val="21"/>
                <w:szCs w:val="21"/>
              </w:rPr>
              <w:t>布儒斯特定律。</w:t>
            </w:r>
            <w:r>
              <w:rPr>
                <w:rFonts w:hint="eastAsia" w:ascii="宋体" w:hAnsi="宋体" w:eastAsia="宋体"/>
                <w:kern w:val="0"/>
                <w:sz w:val="21"/>
                <w:szCs w:val="21"/>
              </w:rPr>
              <w:t>理</w:t>
            </w:r>
            <w:r>
              <w:rPr>
                <w:rFonts w:ascii="宋体" w:hAnsi="宋体" w:eastAsia="宋体"/>
                <w:kern w:val="0"/>
                <w:sz w:val="21"/>
                <w:szCs w:val="21"/>
              </w:rPr>
              <w:t>解双折射现象和确定单轴晶体中o光、e光的传播方向的惠更斯作图法。</w:t>
            </w:r>
            <w:r>
              <w:rPr>
                <w:rFonts w:hint="eastAsia" w:ascii="宋体" w:hAnsi="宋体" w:eastAsia="宋体"/>
                <w:kern w:val="0"/>
                <w:sz w:val="21"/>
                <w:szCs w:val="21"/>
              </w:rPr>
              <w:t>了解偏振光的干涉。</w:t>
            </w:r>
          </w:p>
          <w:p w14:paraId="7E425C21">
            <w:pPr>
              <w:pStyle w:val="6"/>
              <w:adjustRightInd w:val="0"/>
              <w:snapToGrid w:val="0"/>
              <w:spacing w:before="0" w:beforeAutospacing="0" w:after="0" w:afterAutospacing="0"/>
              <w:rPr>
                <w:rFonts w:ascii="黑体" w:hAnsi="黑体" w:eastAsia="黑体"/>
                <w:sz w:val="21"/>
                <w:szCs w:val="21"/>
              </w:rPr>
            </w:pPr>
            <w:r>
              <w:rPr>
                <w:rFonts w:hint="eastAsia" w:ascii="黑体" w:hAnsi="黑体" w:eastAsia="黑体"/>
                <w:sz w:val="21"/>
                <w:szCs w:val="21"/>
              </w:rPr>
              <w:tab/>
            </w:r>
            <w:r>
              <w:rPr>
                <w:rFonts w:hint="eastAsia" w:ascii="黑体" w:hAnsi="黑体" w:eastAsia="黑体"/>
                <w:sz w:val="21"/>
                <w:szCs w:val="21"/>
              </w:rPr>
              <w:t xml:space="preserve"> </w:t>
            </w:r>
            <w:r>
              <w:rPr>
                <w:rFonts w:ascii="黑体" w:hAnsi="黑体" w:eastAsia="黑体"/>
                <w:sz w:val="21"/>
                <w:szCs w:val="21"/>
              </w:rPr>
              <w:t>6、近代物理</w:t>
            </w:r>
            <w:r>
              <w:rPr>
                <w:rFonts w:hint="eastAsia" w:ascii="黑体" w:hAnsi="黑体" w:eastAsia="黑体"/>
                <w:sz w:val="21"/>
                <w:szCs w:val="21"/>
              </w:rPr>
              <w:t>及原子物理</w:t>
            </w:r>
            <w:r>
              <w:rPr>
                <w:rFonts w:ascii="黑体" w:hAnsi="黑体" w:eastAsia="黑体"/>
                <w:sz w:val="21"/>
                <w:szCs w:val="21"/>
              </w:rPr>
              <w:t>基础</w:t>
            </w:r>
          </w:p>
          <w:p w14:paraId="75B90423">
            <w:pPr>
              <w:pStyle w:val="6"/>
              <w:adjustRightInd w:val="0"/>
              <w:snapToGrid w:val="0"/>
              <w:spacing w:before="0" w:beforeAutospacing="0" w:after="0" w:afterAutospacing="0"/>
              <w:rPr>
                <w:sz w:val="21"/>
                <w:szCs w:val="21"/>
              </w:rPr>
            </w:pPr>
            <w:r>
              <w:rPr>
                <w:sz w:val="21"/>
                <w:szCs w:val="21"/>
              </w:rPr>
              <w:t>　　（</w:t>
            </w:r>
            <w:r>
              <w:rPr>
                <w:rFonts w:hint="eastAsia"/>
                <w:sz w:val="21"/>
                <w:szCs w:val="21"/>
              </w:rPr>
              <w:t>1</w:t>
            </w:r>
            <w:r>
              <w:rPr>
                <w:sz w:val="21"/>
                <w:szCs w:val="21"/>
              </w:rPr>
              <w:t>）量子物理基础。理解能量子概念及光电效应的实验定律，会利用光电效应公式计算有关的物理量。理解康普顿效应，会计算散射波长等有关物理量。理解光子概念及其</w:t>
            </w:r>
            <w:r>
              <w:rPr>
                <w:rFonts w:hint="eastAsia"/>
                <w:sz w:val="21"/>
                <w:szCs w:val="21"/>
                <w:lang w:val="en-US" w:eastAsia="zh-CN"/>
              </w:rPr>
              <w:t>对</w:t>
            </w:r>
            <w:r>
              <w:rPr>
                <w:sz w:val="21"/>
                <w:szCs w:val="21"/>
              </w:rPr>
              <w:t>光电效应、康普顿效应的解释，</w:t>
            </w:r>
            <w:r>
              <w:rPr>
                <w:rFonts w:hint="eastAsia"/>
                <w:sz w:val="21"/>
                <w:szCs w:val="21"/>
                <w:lang w:val="en-US" w:eastAsia="zh-CN"/>
              </w:rPr>
              <w:t>理解</w:t>
            </w:r>
            <w:r>
              <w:rPr>
                <w:sz w:val="21"/>
                <w:szCs w:val="21"/>
              </w:rPr>
              <w:t>光的波粒二象性</w:t>
            </w:r>
            <w:r>
              <w:rPr>
                <w:rFonts w:hint="eastAsia"/>
                <w:sz w:val="21"/>
                <w:szCs w:val="21"/>
                <w:lang w:val="en-US" w:eastAsia="zh-CN"/>
              </w:rPr>
              <w:t>及相关</w:t>
            </w:r>
            <w:r>
              <w:rPr>
                <w:sz w:val="21"/>
                <w:szCs w:val="21"/>
              </w:rPr>
              <w:t>基本公式。</w:t>
            </w:r>
          </w:p>
          <w:p w14:paraId="7334359B">
            <w:pPr>
              <w:pStyle w:val="6"/>
              <w:adjustRightInd w:val="0"/>
              <w:snapToGrid w:val="0"/>
              <w:spacing w:before="0" w:beforeAutospacing="0" w:after="0" w:afterAutospacing="0"/>
              <w:rPr>
                <w:sz w:val="21"/>
                <w:szCs w:val="21"/>
              </w:rPr>
            </w:pPr>
            <w:r>
              <w:rPr>
                <w:rFonts w:hint="eastAsia"/>
                <w:sz w:val="21"/>
                <w:szCs w:val="21"/>
              </w:rPr>
              <w:t xml:space="preserve">     (2)原子的量子理论。掌握原子光谱规律、氢原子的玻尔理论和量子力学处理。理解多电子原子系统和元素周期表，理解原子发光和原子磁矩等概念。</w:t>
            </w:r>
          </w:p>
          <w:p w14:paraId="5C5187B5">
            <w:pPr>
              <w:pStyle w:val="6"/>
              <w:adjustRightInd w:val="0"/>
              <w:snapToGrid w:val="0"/>
              <w:spacing w:before="0" w:beforeAutospacing="0" w:after="0" w:afterAutospacing="0"/>
              <w:ind w:firstLine="525" w:firstLineChars="250"/>
              <w:rPr>
                <w:sz w:val="21"/>
                <w:szCs w:val="21"/>
              </w:rPr>
            </w:pPr>
            <w:r>
              <w:rPr>
                <w:rFonts w:hint="eastAsia"/>
                <w:sz w:val="21"/>
                <w:szCs w:val="21"/>
              </w:rPr>
              <w:t>(3) 相对论。掌握狭义相对论的基本原理和洛仑兹变换，正确理解时间和空间的相对性。掌握相对论质量、能量、动能及其相互联系的公式和意义。</w:t>
            </w:r>
          </w:p>
          <w:p w14:paraId="3BEE2CA2">
            <w:pPr>
              <w:rPr>
                <w:rFonts w:ascii="宋体" w:hAnsi="宋体" w:eastAsia="宋体"/>
                <w:sz w:val="21"/>
              </w:rPr>
            </w:pPr>
            <w:r>
              <w:rPr>
                <w:rFonts w:hint="eastAsia" w:ascii="宋体" w:hAnsi="宋体" w:eastAsia="宋体"/>
                <w:kern w:val="0"/>
                <w:sz w:val="21"/>
                <w:szCs w:val="21"/>
              </w:rPr>
              <w:t xml:space="preserve">    </w:t>
            </w:r>
            <w:r>
              <w:rPr>
                <w:rFonts w:ascii="宋体" w:hAnsi="宋体" w:eastAsia="宋体"/>
                <w:kern w:val="0"/>
                <w:sz w:val="21"/>
                <w:szCs w:val="21"/>
              </w:rPr>
              <w:t>（</w:t>
            </w:r>
            <w:r>
              <w:rPr>
                <w:rFonts w:hint="eastAsia" w:ascii="宋体" w:hAnsi="宋体" w:eastAsia="宋体"/>
                <w:kern w:val="0"/>
                <w:sz w:val="21"/>
                <w:szCs w:val="21"/>
              </w:rPr>
              <w:t>4</w:t>
            </w:r>
            <w:r>
              <w:rPr>
                <w:rFonts w:ascii="宋体" w:hAnsi="宋体" w:eastAsia="宋体"/>
                <w:kern w:val="0"/>
                <w:sz w:val="21"/>
                <w:szCs w:val="21"/>
              </w:rPr>
              <w:t>）固体物理简介。理解自发辐射和受激辐射，</w:t>
            </w:r>
            <w:r>
              <w:rPr>
                <w:rFonts w:hint="eastAsia" w:ascii="宋体" w:hAnsi="宋体" w:eastAsia="宋体"/>
                <w:kern w:val="0"/>
                <w:sz w:val="21"/>
                <w:szCs w:val="21"/>
              </w:rPr>
              <w:t>理</w:t>
            </w:r>
            <w:r>
              <w:rPr>
                <w:rFonts w:ascii="宋体" w:hAnsi="宋体" w:eastAsia="宋体"/>
                <w:kern w:val="0"/>
                <w:sz w:val="21"/>
                <w:szCs w:val="21"/>
              </w:rPr>
              <w:t>解粒子数反转。</w:t>
            </w:r>
            <w:r>
              <w:rPr>
                <w:rFonts w:hint="eastAsia" w:ascii="宋体" w:hAnsi="宋体" w:eastAsia="宋体"/>
                <w:kern w:val="0"/>
                <w:sz w:val="21"/>
                <w:szCs w:val="21"/>
              </w:rPr>
              <w:t>掌握</w:t>
            </w:r>
            <w:r>
              <w:rPr>
                <w:rFonts w:ascii="宋体" w:hAnsi="宋体" w:eastAsia="宋体"/>
                <w:kern w:val="0"/>
                <w:sz w:val="21"/>
                <w:szCs w:val="21"/>
              </w:rPr>
              <w:t>激光器的基本结构及其作用，激光的特性及主要应用。了解固体能带的形成和能带中电子的填充情况，导体、半导体、绝缘体的能带结构特点，本征半导体、n型半导体和p型半导体。</w:t>
            </w:r>
          </w:p>
          <w:p w14:paraId="4FBAAC93">
            <w:pPr>
              <w:spacing w:line="400" w:lineRule="exact"/>
              <w:rPr>
                <w:rFonts w:ascii="黑体" w:eastAsia="黑体"/>
              </w:rPr>
            </w:pPr>
          </w:p>
        </w:tc>
      </w:tr>
      <w:tr w14:paraId="1D2AB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8" w:hRule="atLeast"/>
        </w:trPr>
        <w:tc>
          <w:tcPr>
            <w:tcW w:w="9540" w:type="dxa"/>
          </w:tcPr>
          <w:p w14:paraId="7E34CF20">
            <w:pPr>
              <w:rPr>
                <w:rFonts w:ascii="黑体" w:eastAsia="黑体"/>
                <w:sz w:val="21"/>
              </w:rPr>
            </w:pPr>
            <w:r>
              <w:rPr>
                <w:rFonts w:hint="eastAsia" w:ascii="黑体" w:eastAsia="黑体"/>
                <w:sz w:val="21"/>
              </w:rPr>
              <w:t>二、考试要求（包括考试时间、总分、考试方式、题型、分数比例等）</w:t>
            </w:r>
          </w:p>
          <w:p w14:paraId="36C4763A">
            <w:pPr>
              <w:ind w:firstLine="420" w:firstLineChars="200"/>
              <w:rPr>
                <w:rFonts w:ascii="宋体" w:hAnsi="宋体" w:eastAsia="宋体"/>
                <w:sz w:val="21"/>
              </w:rPr>
            </w:pPr>
            <w:r>
              <w:rPr>
                <w:rFonts w:hint="eastAsia" w:ascii="宋体" w:hAnsi="宋体" w:eastAsia="宋体"/>
                <w:sz w:val="21"/>
              </w:rPr>
              <w:t>考试时间：180分钟</w:t>
            </w:r>
          </w:p>
          <w:p w14:paraId="0EE10E16">
            <w:pPr>
              <w:ind w:firstLine="420" w:firstLineChars="200"/>
              <w:rPr>
                <w:rFonts w:ascii="宋体" w:hAnsi="宋体" w:eastAsia="宋体"/>
                <w:sz w:val="21"/>
              </w:rPr>
            </w:pPr>
            <w:r>
              <w:rPr>
                <w:rFonts w:hint="eastAsia" w:ascii="宋体" w:hAnsi="宋体" w:eastAsia="宋体"/>
                <w:sz w:val="21"/>
              </w:rPr>
              <w:t xml:space="preserve">总    分：150分        </w:t>
            </w:r>
          </w:p>
          <w:p w14:paraId="6F500CEF">
            <w:pPr>
              <w:ind w:firstLine="420" w:firstLineChars="200"/>
              <w:rPr>
                <w:rFonts w:ascii="宋体" w:hAnsi="宋体" w:eastAsia="宋体"/>
                <w:sz w:val="21"/>
              </w:rPr>
            </w:pPr>
            <w:r>
              <w:rPr>
                <w:rFonts w:hint="eastAsia" w:ascii="宋体" w:hAnsi="宋体" w:eastAsia="宋体"/>
                <w:sz w:val="21"/>
              </w:rPr>
              <w:t>考试方式：笔试，闭卷</w:t>
            </w:r>
          </w:p>
          <w:p w14:paraId="6B7AA2A8">
            <w:pPr>
              <w:ind w:firstLine="420" w:firstLineChars="200"/>
              <w:rPr>
                <w:rFonts w:ascii="宋体" w:hAnsi="宋体" w:eastAsia="宋体"/>
                <w:sz w:val="21"/>
              </w:rPr>
            </w:pPr>
            <w:r>
              <w:rPr>
                <w:rFonts w:hint="eastAsia" w:ascii="宋体" w:hAnsi="宋体" w:eastAsia="宋体"/>
                <w:sz w:val="21"/>
              </w:rPr>
              <w:t>题    型：十道计算题</w:t>
            </w:r>
          </w:p>
          <w:p w14:paraId="63BC0571">
            <w:pPr>
              <w:rPr>
                <w:rFonts w:ascii="宋体" w:hAnsi="宋体" w:eastAsia="宋体"/>
                <w:sz w:val="21"/>
                <w:szCs w:val="21"/>
              </w:rPr>
            </w:pPr>
            <w:r>
              <w:rPr>
                <w:rFonts w:hint="eastAsia" w:ascii="宋体" w:hAnsi="宋体" w:eastAsia="宋体"/>
                <w:sz w:val="21"/>
              </w:rPr>
              <w:t>分数比例：</w:t>
            </w:r>
            <w:r>
              <w:rPr>
                <w:rFonts w:hint="eastAsia" w:ascii="宋体" w:hAnsi="宋体" w:eastAsia="宋体"/>
                <w:sz w:val="21"/>
                <w:szCs w:val="21"/>
              </w:rPr>
              <w:t>力学10%、振动与波10%、热学10%、电磁学30%、波动光学20%、近代物理及原子物理基础20%。</w:t>
            </w:r>
          </w:p>
          <w:p w14:paraId="5E63924A">
            <w:pPr>
              <w:rPr>
                <w:rFonts w:ascii="宋体" w:hAnsi="宋体" w:eastAsia="宋体"/>
                <w:sz w:val="21"/>
                <w:szCs w:val="21"/>
              </w:rPr>
            </w:pPr>
          </w:p>
        </w:tc>
      </w:tr>
      <w:tr w14:paraId="4F7D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rPr>
        <w:tc>
          <w:tcPr>
            <w:tcW w:w="9540" w:type="dxa"/>
          </w:tcPr>
          <w:p w14:paraId="2DFB99A8">
            <w:pPr>
              <w:rPr>
                <w:rFonts w:ascii="黑体" w:eastAsia="黑体"/>
                <w:sz w:val="21"/>
              </w:rPr>
            </w:pPr>
            <w:r>
              <w:rPr>
                <w:rFonts w:hint="eastAsia" w:ascii="黑体" w:eastAsia="黑体"/>
                <w:sz w:val="21"/>
              </w:rPr>
              <w:t>三、主要参考书目</w:t>
            </w:r>
          </w:p>
          <w:p w14:paraId="425F0784">
            <w:pPr>
              <w:pStyle w:val="6"/>
              <w:adjustRightInd w:val="0"/>
              <w:snapToGrid w:val="0"/>
              <w:spacing w:before="0" w:beforeAutospacing="0" w:after="0" w:afterAutospacing="0"/>
              <w:rPr>
                <w:sz w:val="21"/>
                <w:szCs w:val="21"/>
              </w:rPr>
            </w:pPr>
            <w:r>
              <w:rPr>
                <w:rFonts w:hint="eastAsia"/>
                <w:sz w:val="21"/>
              </w:rPr>
              <w:t xml:space="preserve"> </w:t>
            </w:r>
            <w:r>
              <w:rPr>
                <w:rFonts w:hint="eastAsia"/>
                <w:sz w:val="21"/>
                <w:szCs w:val="21"/>
              </w:rPr>
              <w:t xml:space="preserve"> 1、《普通物理学》（上、下册）（第七版）高等教育出版社，程守洙、江之永主编 2016年版；</w:t>
            </w:r>
          </w:p>
          <w:p w14:paraId="535906DB">
            <w:pPr>
              <w:pStyle w:val="6"/>
              <w:adjustRightInd w:val="0"/>
              <w:snapToGrid w:val="0"/>
              <w:spacing w:before="0" w:beforeAutospacing="0" w:after="0" w:afterAutospacing="0"/>
              <w:rPr>
                <w:sz w:val="21"/>
                <w:szCs w:val="21"/>
              </w:rPr>
            </w:pPr>
            <w:r>
              <w:rPr>
                <w:rFonts w:hint="eastAsia"/>
                <w:sz w:val="21"/>
                <w:szCs w:val="21"/>
              </w:rPr>
              <w:t xml:space="preserve">  2、《大学物理学》（上、下册）(第二版) 高等教育出版社，施建青主编，2018年版。</w:t>
            </w:r>
          </w:p>
          <w:p w14:paraId="7F4D1A6A">
            <w:pPr>
              <w:rPr>
                <w:rFonts w:ascii="宋体" w:hAnsi="宋体" w:eastAsia="宋体"/>
                <w:sz w:val="21"/>
              </w:rPr>
            </w:pPr>
          </w:p>
          <w:p w14:paraId="57DC77BA">
            <w:pPr>
              <w:rPr>
                <w:rFonts w:ascii="黑体" w:eastAsia="黑体"/>
                <w:sz w:val="21"/>
              </w:rPr>
            </w:pPr>
            <w:r>
              <w:rPr>
                <w:rFonts w:hint="eastAsia" w:ascii="宋体" w:hAnsi="宋体" w:eastAsia="宋体"/>
                <w:sz w:val="21"/>
              </w:rPr>
              <w:t xml:space="preserve"> </w:t>
            </w:r>
          </w:p>
        </w:tc>
      </w:tr>
    </w:tbl>
    <w:p w14:paraId="3861B327">
      <w:pPr>
        <w:spacing w:line="400" w:lineRule="exact"/>
        <w:rPr>
          <w:rFonts w:ascii="黑体" w:eastAsia="黑体"/>
        </w:rPr>
      </w:pPr>
    </w:p>
    <w:sectPr>
      <w:headerReference r:id="rId5" w:type="first"/>
      <w:footerReference r:id="rId8" w:type="first"/>
      <w:headerReference r:id="rId3" w:type="default"/>
      <w:footerReference r:id="rId6" w:type="default"/>
      <w:headerReference r:id="rId4" w:type="even"/>
      <w:footerReference r:id="rId7" w:type="even"/>
      <w:pgSz w:w="11907" w:h="16840"/>
      <w:pgMar w:top="777" w:right="975" w:bottom="777" w:left="306" w:header="851" w:footer="992" w:gutter="113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FE83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39D07">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111D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0401C">
    <w:pPr>
      <w:pStyle w:val="5"/>
    </w:pPr>
    <w:r>
      <w:rPr>
        <w:rFonts w:hint="eastAsia"/>
      </w:rPr>
      <w:t>浙江工业大学研究生入学考试自命题科目考试大纲</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C01B3">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C9B5D">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EC52BB"/>
    <w:multiLevelType w:val="multilevel"/>
    <w:tmpl w:val="14EC52BB"/>
    <w:lvl w:ilvl="0" w:tentative="0">
      <w:start w:val="1"/>
      <w:numFmt w:val="japaneseCounting"/>
      <w:lvlText w:val="%1、"/>
      <w:lvlJc w:val="left"/>
      <w:pPr>
        <w:ind w:left="491" w:hanging="420"/>
      </w:pPr>
      <w:rPr>
        <w:rFonts w:hint="default"/>
      </w:rPr>
    </w:lvl>
    <w:lvl w:ilvl="1" w:tentative="0">
      <w:start w:val="1"/>
      <w:numFmt w:val="lowerLetter"/>
      <w:lvlText w:val="%2)"/>
      <w:lvlJc w:val="left"/>
      <w:pPr>
        <w:ind w:left="911" w:hanging="420"/>
      </w:pPr>
    </w:lvl>
    <w:lvl w:ilvl="2" w:tentative="0">
      <w:start w:val="1"/>
      <w:numFmt w:val="lowerRoman"/>
      <w:lvlText w:val="%3."/>
      <w:lvlJc w:val="right"/>
      <w:pPr>
        <w:ind w:left="1331" w:hanging="420"/>
      </w:pPr>
    </w:lvl>
    <w:lvl w:ilvl="3" w:tentative="0">
      <w:start w:val="1"/>
      <w:numFmt w:val="decimal"/>
      <w:lvlText w:val="%4."/>
      <w:lvlJc w:val="left"/>
      <w:pPr>
        <w:ind w:left="1751" w:hanging="420"/>
      </w:pPr>
    </w:lvl>
    <w:lvl w:ilvl="4" w:tentative="0">
      <w:start w:val="1"/>
      <w:numFmt w:val="lowerLetter"/>
      <w:lvlText w:val="%5)"/>
      <w:lvlJc w:val="left"/>
      <w:pPr>
        <w:ind w:left="2171" w:hanging="420"/>
      </w:pPr>
    </w:lvl>
    <w:lvl w:ilvl="5" w:tentative="0">
      <w:start w:val="1"/>
      <w:numFmt w:val="lowerRoman"/>
      <w:lvlText w:val="%6."/>
      <w:lvlJc w:val="right"/>
      <w:pPr>
        <w:ind w:left="2591" w:hanging="420"/>
      </w:pPr>
    </w:lvl>
    <w:lvl w:ilvl="6" w:tentative="0">
      <w:start w:val="1"/>
      <w:numFmt w:val="decimal"/>
      <w:lvlText w:val="%7."/>
      <w:lvlJc w:val="left"/>
      <w:pPr>
        <w:ind w:left="3011" w:hanging="420"/>
      </w:pPr>
    </w:lvl>
    <w:lvl w:ilvl="7" w:tentative="0">
      <w:start w:val="1"/>
      <w:numFmt w:val="lowerLetter"/>
      <w:lvlText w:val="%8)"/>
      <w:lvlJc w:val="left"/>
      <w:pPr>
        <w:ind w:left="3431" w:hanging="420"/>
      </w:pPr>
    </w:lvl>
    <w:lvl w:ilvl="8" w:tentative="0">
      <w:start w:val="1"/>
      <w:numFmt w:val="lowerRoman"/>
      <w:lvlText w:val="%9."/>
      <w:lvlJc w:val="right"/>
      <w:pPr>
        <w:ind w:left="385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xNzM1MDA2YjZiNjg4ZDBkYWJhYTc5NjNiODZjMjgifQ=="/>
  </w:docVars>
  <w:rsids>
    <w:rsidRoot w:val="00172A27"/>
    <w:rsid w:val="00112F65"/>
    <w:rsid w:val="00172A27"/>
    <w:rsid w:val="00196A73"/>
    <w:rsid w:val="001C7A49"/>
    <w:rsid w:val="002156CF"/>
    <w:rsid w:val="0028318F"/>
    <w:rsid w:val="002E0988"/>
    <w:rsid w:val="00303243"/>
    <w:rsid w:val="00341B5C"/>
    <w:rsid w:val="00350B61"/>
    <w:rsid w:val="003C5A1E"/>
    <w:rsid w:val="0042493C"/>
    <w:rsid w:val="004D24D0"/>
    <w:rsid w:val="0053279D"/>
    <w:rsid w:val="005D33B8"/>
    <w:rsid w:val="006313EE"/>
    <w:rsid w:val="00671364"/>
    <w:rsid w:val="007D7C8F"/>
    <w:rsid w:val="00936C1A"/>
    <w:rsid w:val="009532CF"/>
    <w:rsid w:val="009614CF"/>
    <w:rsid w:val="00973B63"/>
    <w:rsid w:val="00A015E5"/>
    <w:rsid w:val="00A15DAD"/>
    <w:rsid w:val="00A87D57"/>
    <w:rsid w:val="00B8052C"/>
    <w:rsid w:val="00BB1974"/>
    <w:rsid w:val="00BC0ECF"/>
    <w:rsid w:val="00C2477F"/>
    <w:rsid w:val="00C523CA"/>
    <w:rsid w:val="00C6703E"/>
    <w:rsid w:val="00C96202"/>
    <w:rsid w:val="00CE2D87"/>
    <w:rsid w:val="00D0351B"/>
    <w:rsid w:val="00D54E64"/>
    <w:rsid w:val="00D7472F"/>
    <w:rsid w:val="00DC1E6E"/>
    <w:rsid w:val="00E61E23"/>
    <w:rsid w:val="00ED625F"/>
    <w:rsid w:val="00F3003B"/>
    <w:rsid w:val="00F3744D"/>
    <w:rsid w:val="00F91A19"/>
    <w:rsid w:val="172E6EA9"/>
    <w:rsid w:val="1EB90BEB"/>
    <w:rsid w:val="2A783528"/>
    <w:rsid w:val="5411485A"/>
    <w:rsid w:val="54A73850"/>
    <w:rsid w:val="6BF91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24"/>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宋体"/>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kern w:val="0"/>
    </w:rPr>
  </w:style>
  <w:style w:type="paragraph" w:customStyle="1" w:styleId="9">
    <w:name w:val="Char Char1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2670</Words>
  <Characters>2701</Characters>
  <Lines>20</Lines>
  <Paragraphs>5</Paragraphs>
  <TotalTime>77</TotalTime>
  <ScaleCrop>false</ScaleCrop>
  <LinksUpToDate>false</LinksUpToDate>
  <CharactersWithSpaces>2796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2021-09-14T02:52:00Z</dcterms:created>
  <dc:creator>lqy</dc:creator>
  <cp:lastModifiedBy>臧鹤(zangh)</cp:lastModifiedBy>
  <cp:lastPrinted>2008-10-23T02:22:00Z</cp:lastPrinted>
  <dcterms:modified xsi:type="dcterms:W3CDTF">2024-09-18T07:07:20Z</dcterms:modified>
  <dc:title>[单击此处请键入专业名称]</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3EF8C31741F04E4DB208E789A1447D58</vt:lpwstr>
  </property>
</Properties>
</file>