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77CAA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5251BBB2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3CA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0C8B14F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12BA512C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899</w:t>
            </w:r>
            <w:r>
              <w:rPr>
                <w:rFonts w:hint="eastAsia"/>
                <w:sz w:val="21"/>
                <w:szCs w:val="21"/>
              </w:rPr>
              <w:t xml:space="preserve">  法学综合（二）</w:t>
            </w:r>
          </w:p>
        </w:tc>
      </w:tr>
      <w:tr w14:paraId="49A2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B475372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C11445F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1160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57D862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B814CED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法学</w:t>
            </w:r>
          </w:p>
        </w:tc>
      </w:tr>
    </w:tbl>
    <w:p w14:paraId="79E65D6F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808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5" w:type="dxa"/>
            <w:noWrap w:val="0"/>
            <w:vAlign w:val="top"/>
          </w:tcPr>
          <w:p w14:paraId="29A9ECFA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一、基本内容</w:t>
            </w:r>
          </w:p>
          <w:p w14:paraId="533AF34E">
            <w:pPr>
              <w:spacing w:line="300" w:lineRule="auto"/>
              <w:jc w:val="center"/>
              <w:rPr>
                <w:rFonts w:hint="eastAsia" w:ascii="宋体" w:eastAsia="宋体"/>
                <w:b/>
              </w:rPr>
            </w:pPr>
          </w:p>
          <w:p w14:paraId="67963153">
            <w:pPr>
              <w:spacing w:line="300" w:lineRule="auto"/>
              <w:jc w:val="center"/>
              <w:rPr>
                <w:rFonts w:hint="eastAsia"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民法学</w:t>
            </w:r>
          </w:p>
          <w:p w14:paraId="61B20C30">
            <w:pPr>
              <w:spacing w:line="300" w:lineRule="auto"/>
              <w:jc w:val="center"/>
              <w:rPr>
                <w:rFonts w:hint="eastAsia" w:ascii="宋体" w:eastAsia="宋体"/>
                <w:b/>
              </w:rPr>
            </w:pPr>
          </w:p>
          <w:p w14:paraId="6980359A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第一章民法概述</w:t>
            </w:r>
          </w:p>
          <w:p w14:paraId="74BB556C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重点：民法的概念、民法的性质、民法的调整对象、民法的基本原则、民法的渊源、民法的适用</w:t>
            </w:r>
          </w:p>
          <w:p w14:paraId="63DCD385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第二章民事法律关系</w:t>
            </w:r>
          </w:p>
          <w:p w14:paraId="0B58B272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重点：民事法律关系的概念与特征、民事法律关系的要素、民事法律事实</w:t>
            </w:r>
          </w:p>
          <w:p w14:paraId="5B6D555E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第三章民事权利</w:t>
            </w:r>
          </w:p>
          <w:p w14:paraId="5A816A09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重点：民事权利的分类、民事权利的取得、民事权利的行使、民事权利的救济。</w:t>
            </w:r>
          </w:p>
          <w:p w14:paraId="126B594D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第四章民事义务与责任</w:t>
            </w:r>
          </w:p>
          <w:p w14:paraId="48D196A1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民事义务的分类、民事责任的种类、民事责任的免责事由</w:t>
            </w:r>
          </w:p>
          <w:p w14:paraId="0D7FE15A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第五章民事主体</w:t>
            </w:r>
          </w:p>
          <w:p w14:paraId="427F0B90">
            <w:pPr>
              <w:spacing w:line="300" w:lineRule="auto"/>
              <w:ind w:left="240" w:left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自然人的民事权利能力、自然人民事权利能力的开始和终止、自然人的民事行为能力、宣告失踪和宣告死亡、法人的分类、法人的设立、法人的法定代表人以及法人的机关、法人的终止、普通合伙企业、有限合伙企业</w:t>
            </w:r>
          </w:p>
          <w:p w14:paraId="7C379BF5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第六章民事法律行为</w:t>
            </w:r>
          </w:p>
          <w:p w14:paraId="361752F4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重点：民事法律行为的概念与特征、民事法律行为的分类、意思表示、民事法律行为的效力、欠缺生效要件的民事法律行为、附条件和附期限的民事法律行为</w:t>
            </w:r>
          </w:p>
          <w:p w14:paraId="2361DBDC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第七章代理</w:t>
            </w:r>
          </w:p>
          <w:p w14:paraId="259458D6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重点：代理的分类、代理权、代理权的行使、无权代理、表见代理</w:t>
            </w:r>
          </w:p>
          <w:p w14:paraId="297FF1E0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第八章时效</w:t>
            </w:r>
          </w:p>
          <w:p w14:paraId="31AF91D4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重点：诉讼时效的适用范围、诉讼时效期间的分类、诉讼时效期间的起算、诉讼时效期间的中断、中止和延长、除斥期间</w:t>
            </w:r>
          </w:p>
          <w:p w14:paraId="1EAB31EC">
            <w:pPr>
              <w:ind w:firstLine="240" w:firstLineChars="100"/>
              <w:rPr>
                <w:rFonts w:hint="eastAsia" w:ascii="宋体" w:eastAsia="宋体"/>
              </w:rPr>
            </w:pPr>
          </w:p>
        </w:tc>
      </w:tr>
      <w:tr w14:paraId="2445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8715" w:type="dxa"/>
            <w:noWrap w:val="0"/>
            <w:vAlign w:val="top"/>
          </w:tcPr>
          <w:p w14:paraId="0BB36335">
            <w:pPr>
              <w:ind w:firstLine="240" w:firstLineChars="100"/>
              <w:rPr>
                <w:rFonts w:hint="eastAsia" w:ascii="宋体" w:eastAsia="宋体"/>
              </w:rPr>
            </w:pPr>
          </w:p>
          <w:p w14:paraId="334F7320">
            <w:pPr>
              <w:rPr>
                <w:rFonts w:hint="eastAsia" w:ascii="宋体" w:eastAsia="宋体"/>
              </w:rPr>
            </w:pPr>
          </w:p>
          <w:p w14:paraId="698A6333">
            <w:pPr>
              <w:jc w:val="center"/>
              <w:rPr>
                <w:rFonts w:hint="eastAsia"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诉讼原理</w:t>
            </w:r>
          </w:p>
          <w:p w14:paraId="7BFC301B">
            <w:pPr>
              <w:jc w:val="center"/>
              <w:rPr>
                <w:rFonts w:ascii="宋体" w:eastAsia="宋体"/>
                <w:b/>
              </w:rPr>
            </w:pPr>
          </w:p>
          <w:p w14:paraId="3E9CD81B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绪论  刑事诉讼与刑事诉讼法的概念；刑事诉讼法的制定目的与任务；中国刑事诉讼法的历史发展。</w:t>
            </w:r>
          </w:p>
          <w:p w14:paraId="41610893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第一章  马克思、恩格斯的刑事诉讼观</w:t>
            </w:r>
          </w:p>
          <w:p w14:paraId="5943B2FC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重点：刑事实体法与程序法的关系；刑事诉讼中的人权司法保障；刑事审判权的独立行使；刑事司法的民众参与；刑事诉讼的程序公正要求。</w:t>
            </w:r>
          </w:p>
          <w:p w14:paraId="4FE6B4D9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第二章 刑事诉讼构造与刑事诉讼主体</w:t>
            </w:r>
          </w:p>
          <w:p w14:paraId="45CDBD68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刑事诉讼构造概念；职权主义诉讼特点；当事人主义诉讼特点；混合主义诉讼特点；我国刑事诉讼构造及特征；刑事诉讼主体的范围；审判机关的性质、职权、组织体系、上下级关系、审判组织以及人民陪审制度；检察机关的性质、地位、职权、组织体系、上下级关系；侦查机关的类型、性质、职权、组织体系、上下级关系等；当事人的概念、范围；其他诉讼参与人的概念、范围。</w:t>
            </w:r>
          </w:p>
          <w:p w14:paraId="5F1B469D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第三章　刑事诉讼基本原则</w:t>
            </w:r>
          </w:p>
          <w:p w14:paraId="646891C6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重点：基本原则的含义、体系、各基本原则的具体内容。</w:t>
            </w:r>
          </w:p>
          <w:p w14:paraId="4E64D858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第四章　管辖</w:t>
            </w:r>
          </w:p>
          <w:p w14:paraId="310744B2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重点：确定管辖的基本原则；公、检、法三机关立案管辖的具体分工；《监察法》关于职务犯罪管辖的规定；人民法院内部级别管辖、地区管辖、指定管辖、专门管辖的基本规定。</w:t>
            </w:r>
          </w:p>
          <w:p w14:paraId="7817DE7C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第五章　回避</w:t>
            </w:r>
          </w:p>
          <w:p w14:paraId="0906D28D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重点：回避的分类；回避的适用对象；回避的理由；回避的程序。</w:t>
            </w:r>
          </w:p>
          <w:p w14:paraId="3F5C9BE1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第六章　辩护与代理 </w:t>
            </w:r>
          </w:p>
          <w:p w14:paraId="12DA04E1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重点：辩护制度的理论基础；辩护的种类；辩护人的范围；辩护人的责任；辩护人的诉讼权利和诉讼义务；代理制度的种类；刑事辩护与刑事代理的区别。</w:t>
            </w:r>
          </w:p>
          <w:p w14:paraId="03B06E05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第七章　证据与证明 </w:t>
            </w:r>
          </w:p>
          <w:p w14:paraId="7CD19C4E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重点：证据的概念及基本特征；证据制度的基础理论；证据的种类与分类；证据规则；证明的概念与分类；证明对象；证明责任；证明标准；证明程序。</w:t>
            </w:r>
          </w:p>
          <w:p w14:paraId="203B2F62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第八章　强制措施 </w:t>
            </w:r>
          </w:p>
          <w:p w14:paraId="540B313B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重点：强制措施的概念和特点；强制措施与刑罚的区别；强制措施的种类及适用条件；各种强制措施的期限规定。</w:t>
            </w:r>
          </w:p>
          <w:p w14:paraId="18E349BE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第九章　 附带民事诉讼</w:t>
            </w:r>
          </w:p>
          <w:p w14:paraId="75FB704D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重点：附带民事诉讼的概念与特征；附带民事诉讼的成立条件；附带民事诉讼的赔偿范围；附带民事诉讼的审判。</w:t>
            </w:r>
          </w:p>
          <w:p w14:paraId="1249D698">
            <w:pPr>
              <w:ind w:firstLine="240" w:firstLineChars="100"/>
              <w:rPr>
                <w:rFonts w:hint="eastAsia" w:ascii="宋体" w:eastAsia="宋体"/>
                <w:bCs/>
              </w:rPr>
            </w:pPr>
            <w:r>
              <w:rPr>
                <w:rFonts w:hint="eastAsia" w:ascii="宋体" w:eastAsia="宋体"/>
                <w:bCs/>
              </w:rPr>
              <w:t>第十章  期间与送达</w:t>
            </w:r>
          </w:p>
          <w:p w14:paraId="269D66B3">
            <w:pPr>
              <w:ind w:firstLine="240" w:firstLineChars="100"/>
              <w:rPr>
                <w:rFonts w:hint="eastAsia" w:ascii="宋体" w:eastAsia="宋体"/>
                <w:bCs/>
              </w:rPr>
            </w:pPr>
            <w:r>
              <w:rPr>
                <w:rFonts w:hint="eastAsia" w:ascii="宋体" w:eastAsia="宋体"/>
                <w:bCs/>
              </w:rPr>
              <w:t>重点：期间的概念；期间的计算；期间的耽误与恢复；刑事诉讼的法定期间；送达的方式与程序。</w:t>
            </w:r>
          </w:p>
          <w:p w14:paraId="7901906D">
            <w:pPr>
              <w:ind w:firstLine="240" w:firstLineChars="100"/>
              <w:rPr>
                <w:rFonts w:ascii="宋体" w:eastAsia="宋体"/>
                <w:bCs/>
              </w:rPr>
            </w:pPr>
            <w:r>
              <w:rPr>
                <w:rFonts w:hint="eastAsia" w:ascii="宋体" w:eastAsia="宋体"/>
                <w:bCs/>
              </w:rPr>
              <w:t>第十一章 立案</w:t>
            </w:r>
          </w:p>
          <w:p w14:paraId="203EC24C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重点：立案的材料来源；立案的条件；立案程序和立案监督。</w:t>
            </w:r>
          </w:p>
          <w:p w14:paraId="1EF09E61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第十二章 侦查 </w:t>
            </w:r>
          </w:p>
          <w:p w14:paraId="54CA7CFA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重点：侦查的任务和意义；各种侦查行为应当遵守的法定程序；人民检察院对直接受理案件的侦查；侦查终结的条件；补充侦查的种类；侦查监督的概念与意义。</w:t>
            </w:r>
          </w:p>
          <w:p w14:paraId="04E76E2B">
            <w:pPr>
              <w:ind w:firstLine="240" w:firstLineChars="100"/>
              <w:rPr>
                <w:rFonts w:hint="eastAsia" w:ascii="宋体" w:eastAsia="宋体"/>
              </w:rPr>
            </w:pPr>
          </w:p>
        </w:tc>
      </w:tr>
      <w:tr w14:paraId="446B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8715" w:type="dxa"/>
            <w:noWrap w:val="0"/>
            <w:vAlign w:val="top"/>
          </w:tcPr>
          <w:p w14:paraId="56FA829B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审查起诉</w:t>
            </w:r>
          </w:p>
          <w:p w14:paraId="171397A5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重点：起诉的概念；审查起诉的内容；认罪认罚案件审查起诉的特殊性；提起公诉的条件；不起诉的种类和条件；提起自诉的主体和条件。</w:t>
            </w:r>
          </w:p>
          <w:p w14:paraId="4B2FDDED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第一审程序</w:t>
            </w:r>
          </w:p>
          <w:p w14:paraId="162CD602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我国第一审程序的审判模式；审判组织的主要形式；对公诉案件审查的内容；法庭审判的基本程序；认罪认罚案件量刑建议的采纳；审理期限；延期审理和中止审理；自诉案件的审判；简易程序；速裁程序；判决、裁定、决定的区别。</w:t>
            </w:r>
          </w:p>
          <w:p w14:paraId="1065BEBF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第二审程序</w:t>
            </w:r>
          </w:p>
          <w:p w14:paraId="2055762F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重点：第二审程序的特点；第二审程序的提起；全面审理原则；第二审程序的审理方式；第二审程序对案件的处理；上诉不加刑原则的含义及适用。</w:t>
            </w:r>
          </w:p>
          <w:p w14:paraId="4EF3BDC8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死刑复核程序</w:t>
            </w:r>
          </w:p>
          <w:p w14:paraId="1C0A84E5">
            <w:pPr>
              <w:ind w:left="240" w:left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重点：死刑的核准权及规定；死刑案件的复核程序。</w:t>
            </w:r>
          </w:p>
          <w:p w14:paraId="5C758160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审判监督程序</w:t>
            </w:r>
          </w:p>
          <w:p w14:paraId="5A79DE53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重点：审判监督程序的特点及意义；申诉的特点；提起审判监督程序的主体及理由；对案件重新审判的程序。</w:t>
            </w:r>
          </w:p>
          <w:p w14:paraId="230AF4DB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各种判决、裁定的执行</w:t>
            </w:r>
          </w:p>
          <w:p w14:paraId="07D0971D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重点：执行的特征；执行的主体和根据；各种生效判决、裁定的执行程序。</w:t>
            </w:r>
          </w:p>
          <w:p w14:paraId="5143D5E4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执行的变更与监督</w:t>
            </w:r>
          </w:p>
          <w:p w14:paraId="760987F4">
            <w:pPr>
              <w:ind w:left="240" w:left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重点：执行的变更；执行的监督。</w:t>
            </w:r>
          </w:p>
          <w:p w14:paraId="3D59B803">
            <w:pPr>
              <w:ind w:firstLine="24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第二十章  未成年人刑事案件诉讼程序</w:t>
            </w:r>
          </w:p>
          <w:p w14:paraId="6D861AE1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重点：未成年人刑事案件诉讼程序的方针、原则和重要制度；未成年人刑事案件诉讼程序的特点和内容。 </w:t>
            </w:r>
          </w:p>
          <w:p w14:paraId="70605105">
            <w:pPr>
              <w:ind w:firstLine="24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第二十一章  刑事和解程序</w:t>
            </w:r>
          </w:p>
          <w:p w14:paraId="7D74FA39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重点：当事人和解的公诉案件范围；当事人和解的公诉案件诉讼程序。</w:t>
            </w:r>
          </w:p>
          <w:p w14:paraId="651AA1F9">
            <w:pPr>
              <w:ind w:firstLine="24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第二十二章　缺席审判程序</w:t>
            </w:r>
          </w:p>
          <w:p w14:paraId="106F7652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重点：缺席审判的案件范围；缺席审判的适用条件；缺席审判的程序。</w:t>
            </w:r>
          </w:p>
          <w:p w14:paraId="30A6C1B9">
            <w:pPr>
              <w:ind w:firstLine="24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第二十三章  违法所得没收程序</w:t>
            </w:r>
          </w:p>
          <w:p w14:paraId="612AF1F8">
            <w:pPr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重点：违法所得没收程序的概念、特点；违法所得没收程序的适用条件；违法所得案件的审理。</w:t>
            </w:r>
          </w:p>
          <w:p w14:paraId="62F9EBF5">
            <w:pPr>
              <w:ind w:firstLine="24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第二十四章  强制医疗程序</w:t>
            </w:r>
          </w:p>
          <w:p w14:paraId="62A46F25">
            <w:pPr>
              <w:ind w:firstLine="240" w:firstLineChars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eastAsia="宋体"/>
              </w:rPr>
              <w:t>重点：强制医疗程序的意义；强制医疗的适用条件；强制医疗案件的审理；强制医疗的复查和监督。</w:t>
            </w:r>
          </w:p>
        </w:tc>
      </w:tr>
      <w:tr w14:paraId="2889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8715" w:type="dxa"/>
            <w:noWrap w:val="0"/>
            <w:vAlign w:val="top"/>
          </w:tcPr>
          <w:p w14:paraId="737C3E63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二、考试要求（包括考试时间、总分、考试方式、题型、分数比例等）</w:t>
            </w:r>
          </w:p>
          <w:p w14:paraId="465F5964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考试时间为3个小时，总分150分，考试方式为书面闭卷，试题由客观题（简答）、主观题（论述）和应用题（案例）三大类组成，。</w:t>
            </w:r>
          </w:p>
          <w:p w14:paraId="4D966218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民法学题型和分值：(共75分)</w:t>
            </w:r>
          </w:p>
          <w:p w14:paraId="72BF5198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l．简答题或辨析题：20分；2．论述题：30分；3．案例分析题：25分。</w:t>
            </w:r>
          </w:p>
          <w:p w14:paraId="011F980D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刑事诉讼法学题型和分值：(共75分)</w:t>
            </w:r>
          </w:p>
          <w:p w14:paraId="18D936D0">
            <w:pPr>
              <w:ind w:firstLine="240" w:firstLineChars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</w:rPr>
              <w:t>l．简答题或辨析题：20分；2．论述题：30分；3．案例分析题：25分。</w:t>
            </w:r>
          </w:p>
        </w:tc>
      </w:tr>
      <w:tr w14:paraId="0CDE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8715" w:type="dxa"/>
            <w:noWrap w:val="0"/>
            <w:vAlign w:val="top"/>
          </w:tcPr>
          <w:p w14:paraId="71D0203B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三、主要参考书目</w:t>
            </w:r>
          </w:p>
          <w:p w14:paraId="61491495">
            <w:pPr>
              <w:ind w:firstLine="240" w:firstLineChars="100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1.《民法学》编写组：《民法学》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第二版）</w:t>
            </w:r>
            <w:r>
              <w:rPr>
                <w:rFonts w:hint="eastAsia" w:ascii="宋体" w:hAnsi="宋体" w:eastAsia="宋体"/>
                <w:color w:val="auto"/>
              </w:rPr>
              <w:t>（马克思主义理论研究和建设工程重点教材）,高等教育出版社,20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auto"/>
              </w:rPr>
              <w:t>年版；</w:t>
            </w:r>
          </w:p>
          <w:p w14:paraId="7F6204F1">
            <w:pPr>
              <w:ind w:firstLine="240" w:firstLineChars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color w:val="auto"/>
              </w:rPr>
              <w:t>2.《刑事诉讼法学》编写组：《刑事诉讼法学》（第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color w:val="auto"/>
              </w:rPr>
              <w:t>版）（马克思主义理论研究和建设工程重点教材），高等教育出版社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</w:rPr>
              <w:t>20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22年</w:t>
            </w:r>
            <w:r>
              <w:rPr>
                <w:rFonts w:hint="eastAsia" w:ascii="宋体" w:hAnsi="宋体" w:eastAsia="宋体"/>
                <w:color w:val="auto"/>
              </w:rPr>
              <w:t>版。</w:t>
            </w:r>
          </w:p>
        </w:tc>
      </w:tr>
      <w:tr w14:paraId="499C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8715" w:type="dxa"/>
            <w:noWrap w:val="0"/>
            <w:vAlign w:val="top"/>
          </w:tcPr>
          <w:p w14:paraId="7A9C71C3">
            <w:pPr>
              <w:numPr>
                <w:ilvl w:val="0"/>
                <w:numId w:val="2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1DFF517F">
            <w:pPr>
              <w:ind w:firstLine="240" w:firstLineChars="100"/>
              <w:rPr>
                <w:rFonts w:hint="eastAsia" w:ascii="宋体" w:hAnsi="宋体" w:eastAsia="宋体"/>
                <w:color w:val="0000FF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无。</w:t>
            </w:r>
          </w:p>
        </w:tc>
      </w:tr>
    </w:tbl>
    <w:p w14:paraId="2F235892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00727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FE895"/>
    <w:multiLevelType w:val="singleLevel"/>
    <w:tmpl w:val="D28FE895"/>
    <w:lvl w:ilvl="0" w:tentative="0">
      <w:start w:val="1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664DA8D"/>
    <w:multiLevelType w:val="singleLevel"/>
    <w:tmpl w:val="2664DA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NhY2UwZWJhYjA5YmM3MzJjZTQ4ZGVhMDA1YTgifQ=="/>
  </w:docVars>
  <w:rsids>
    <w:rsidRoot w:val="00172BB2"/>
    <w:rsid w:val="000632A2"/>
    <w:rsid w:val="00071F17"/>
    <w:rsid w:val="000A213E"/>
    <w:rsid w:val="000D5B6E"/>
    <w:rsid w:val="00172BB2"/>
    <w:rsid w:val="001D587B"/>
    <w:rsid w:val="001E3E34"/>
    <w:rsid w:val="00200B22"/>
    <w:rsid w:val="002438C1"/>
    <w:rsid w:val="00246F6F"/>
    <w:rsid w:val="00290F9D"/>
    <w:rsid w:val="002D0ED2"/>
    <w:rsid w:val="00302CF5"/>
    <w:rsid w:val="00335F5A"/>
    <w:rsid w:val="00364D5A"/>
    <w:rsid w:val="004028FE"/>
    <w:rsid w:val="004438BF"/>
    <w:rsid w:val="00483B88"/>
    <w:rsid w:val="004E428A"/>
    <w:rsid w:val="004F0203"/>
    <w:rsid w:val="0054517B"/>
    <w:rsid w:val="0057654F"/>
    <w:rsid w:val="00580957"/>
    <w:rsid w:val="005B095A"/>
    <w:rsid w:val="005C19BF"/>
    <w:rsid w:val="005D7EFD"/>
    <w:rsid w:val="005E42D4"/>
    <w:rsid w:val="00624315"/>
    <w:rsid w:val="00780CBE"/>
    <w:rsid w:val="007D5CDC"/>
    <w:rsid w:val="007E1891"/>
    <w:rsid w:val="007F0D34"/>
    <w:rsid w:val="00807FD1"/>
    <w:rsid w:val="00847E0D"/>
    <w:rsid w:val="008C1246"/>
    <w:rsid w:val="008C46E2"/>
    <w:rsid w:val="008E077C"/>
    <w:rsid w:val="008E5893"/>
    <w:rsid w:val="00924CAF"/>
    <w:rsid w:val="00932AEA"/>
    <w:rsid w:val="009357B6"/>
    <w:rsid w:val="009773DD"/>
    <w:rsid w:val="009B3BDD"/>
    <w:rsid w:val="009E0984"/>
    <w:rsid w:val="00A679E4"/>
    <w:rsid w:val="00B03F3B"/>
    <w:rsid w:val="00B10529"/>
    <w:rsid w:val="00B13711"/>
    <w:rsid w:val="00B76D1B"/>
    <w:rsid w:val="00B82A59"/>
    <w:rsid w:val="00BE67CE"/>
    <w:rsid w:val="00BF045E"/>
    <w:rsid w:val="00BF126B"/>
    <w:rsid w:val="00C445E7"/>
    <w:rsid w:val="00C52807"/>
    <w:rsid w:val="00C772FA"/>
    <w:rsid w:val="00CC2891"/>
    <w:rsid w:val="00CE3BC6"/>
    <w:rsid w:val="00CF221E"/>
    <w:rsid w:val="00D10310"/>
    <w:rsid w:val="00D436A5"/>
    <w:rsid w:val="00DA1753"/>
    <w:rsid w:val="00DF21A5"/>
    <w:rsid w:val="00E05013"/>
    <w:rsid w:val="00E366C5"/>
    <w:rsid w:val="00E77AD5"/>
    <w:rsid w:val="00ED7E75"/>
    <w:rsid w:val="00EF1FEA"/>
    <w:rsid w:val="00F95B44"/>
    <w:rsid w:val="00FE492E"/>
    <w:rsid w:val="02106D04"/>
    <w:rsid w:val="07443164"/>
    <w:rsid w:val="0C7F5914"/>
    <w:rsid w:val="0EFD7B0D"/>
    <w:rsid w:val="0F690093"/>
    <w:rsid w:val="132D3ECD"/>
    <w:rsid w:val="296F7F44"/>
    <w:rsid w:val="2CEA185A"/>
    <w:rsid w:val="2D7024BA"/>
    <w:rsid w:val="2ED678A6"/>
    <w:rsid w:val="370563A2"/>
    <w:rsid w:val="3AB84DC3"/>
    <w:rsid w:val="48C0610F"/>
    <w:rsid w:val="4BBE35D2"/>
    <w:rsid w:val="5A350E95"/>
    <w:rsid w:val="5B537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2362</Words>
  <Characters>2386</Characters>
  <Lines>17</Lines>
  <Paragraphs>5</Paragraphs>
  <TotalTime>0</TotalTime>
  <ScaleCrop>false</ScaleCrop>
  <LinksUpToDate>false</LinksUpToDate>
  <CharactersWithSpaces>2429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lqy</dc:creator>
  <cp:lastModifiedBy>vertesyuan</cp:lastModifiedBy>
  <cp:lastPrinted>2008-10-23T02:22:00Z</cp:lastPrinted>
  <dcterms:modified xsi:type="dcterms:W3CDTF">2024-10-28T03:30:41Z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37BCC228C7F64137909E6B8048B1C385_13</vt:lpwstr>
  </property>
</Properties>
</file>