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中央民族大学硕士研究生入学考试初试科目考试大纲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pStyle w:val="BodyText"/>
        <w:ind w:left="2278"/>
        <w:spacing w:before="65" w:line="228" w:lineRule="auto"/>
        <w:rPr/>
      </w:pPr>
      <w:r>
        <w:rPr>
          <w:b/>
          <w:bCs/>
          <w:spacing w:val="6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6"/>
        </w:rPr>
        <w:t>610      </w:t>
      </w:r>
      <w:r>
        <w:rPr>
          <w:b/>
          <w:bCs/>
          <w:spacing w:val="6"/>
        </w:rPr>
        <w:t>科目名称：文物学概论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332"/>
        <w:spacing w:before="65" w:line="228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I</w:t>
      </w:r>
      <w:r>
        <w:rPr>
          <w:rFonts w:ascii="Times New Roman" w:hAnsi="Times New Roman" w:eastAsia="Times New Roman" w:cs="Times New Roman"/>
          <w:b/>
          <w:bCs/>
          <w:spacing w:val="-22"/>
        </w:rPr>
        <w:t xml:space="preserve"> </w:t>
      </w:r>
      <w:r>
        <w:rPr>
          <w:b/>
          <w:bCs/>
          <w:spacing w:val="2"/>
        </w:rPr>
        <w:t>．考查目标</w:t>
      </w:r>
    </w:p>
    <w:p>
      <w:pPr>
        <w:pStyle w:val="BodyText"/>
        <w:ind w:left="21" w:firstLine="426"/>
        <w:spacing w:before="62" w:line="281" w:lineRule="auto"/>
        <w:jc w:val="both"/>
        <w:rPr/>
      </w:pPr>
      <w:r>
        <w:rPr>
          <w:spacing w:val="7"/>
        </w:rPr>
        <w:t>《文物学概论》考试涵盖文物学学科基础课程内容。要求考生系统掌握文物学学科的基</w:t>
      </w:r>
      <w:r>
        <w:rPr>
          <w:spacing w:val="3"/>
        </w:rPr>
        <w:t xml:space="preserve"> </w:t>
      </w:r>
      <w:r>
        <w:rPr>
          <w:spacing w:val="7"/>
        </w:rPr>
        <w:t>本理论、知识、方法和技能，并能综合运用所学专业知识、理论和方法分析并解决问题。本</w:t>
      </w:r>
      <w:r>
        <w:rPr>
          <w:spacing w:val="15"/>
        </w:rPr>
        <w:t xml:space="preserve"> </w:t>
      </w:r>
      <w:r>
        <w:rPr>
          <w:spacing w:val="9"/>
        </w:rPr>
        <w:t>科目主要考察考生对文物学学科基础知识的掌握程度，以及综合运用交叉学科</w:t>
      </w:r>
      <w:r>
        <w:rPr>
          <w:spacing w:val="8"/>
        </w:rPr>
        <w:t>知识来分析、</w:t>
      </w:r>
      <w:r>
        <w:rPr/>
        <w:t xml:space="preserve"> </w:t>
      </w:r>
      <w:r>
        <w:rPr>
          <w:spacing w:val="7"/>
        </w:rPr>
        <w:t>解决问题的能力。</w:t>
      </w:r>
    </w:p>
    <w:p>
      <w:pPr>
        <w:pStyle w:val="BodyText"/>
        <w:ind w:left="438"/>
        <w:spacing w:before="33" w:line="228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</w:rPr>
        <w:t>II</w:t>
      </w:r>
      <w:r>
        <w:rPr>
          <w:rFonts w:ascii="Times New Roman" w:hAnsi="Times New Roman" w:eastAsia="Times New Roman" w:cs="Times New Roman"/>
          <w:b/>
          <w:bCs/>
          <w:spacing w:val="-22"/>
        </w:rPr>
        <w:t xml:space="preserve"> </w:t>
      </w:r>
      <w:r>
        <w:rPr>
          <w:b/>
          <w:bCs/>
          <w:spacing w:val="6"/>
        </w:rPr>
        <w:t>．考试形式和试卷结构</w:t>
      </w:r>
    </w:p>
    <w:p>
      <w:pPr>
        <w:pStyle w:val="BodyText"/>
        <w:ind w:left="445"/>
        <w:spacing w:before="6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443"/>
        <w:spacing w:before="64" w:line="228" w:lineRule="auto"/>
        <w:rPr/>
      </w:pPr>
      <w:r>
        <w:rPr>
          <w:spacing w:val="5"/>
        </w:rPr>
        <w:t>本试卷满分为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  </w:t>
      </w:r>
      <w:r>
        <w:rPr>
          <w:spacing w:val="5"/>
        </w:rPr>
        <w:t>分，考试时间为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5"/>
        </w:rPr>
        <w:t>小时。</w:t>
      </w:r>
    </w:p>
    <w:p>
      <w:pPr>
        <w:pStyle w:val="BodyText"/>
        <w:ind w:left="445"/>
        <w:spacing w:before="65" w:line="229" w:lineRule="auto"/>
        <w:rPr/>
      </w:pPr>
      <w:r>
        <w:rPr>
          <w:spacing w:val="7"/>
        </w:rPr>
        <w:t>二、答题方式</w:t>
      </w:r>
    </w:p>
    <w:p>
      <w:pPr>
        <w:pStyle w:val="BodyText"/>
        <w:ind w:left="442"/>
        <w:spacing w:before="64" w:line="229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442"/>
        <w:spacing w:before="64" w:line="228" w:lineRule="auto"/>
        <w:outlineLvl w:val="1"/>
        <w:rPr/>
      </w:pPr>
      <w:r>
        <w:rPr>
          <w:spacing w:val="8"/>
        </w:rPr>
        <w:t>三、试卷内容结构</w:t>
      </w:r>
    </w:p>
    <w:p>
      <w:pPr>
        <w:pStyle w:val="BodyText"/>
        <w:ind w:left="452"/>
        <w:spacing w:before="65" w:line="229" w:lineRule="auto"/>
        <w:outlineLvl w:val="2"/>
        <w:rPr/>
      </w:pPr>
      <w:r>
        <w:rPr>
          <w:spacing w:val="3"/>
        </w:rPr>
        <w:t>（一）必答题为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150  </w:t>
      </w:r>
      <w:r>
        <w:rPr>
          <w:spacing w:val="3"/>
        </w:rPr>
        <w:t>分。</w:t>
      </w:r>
    </w:p>
    <w:p>
      <w:pPr>
        <w:pStyle w:val="BodyText"/>
        <w:ind w:left="461"/>
        <w:spacing w:before="64" w:line="229" w:lineRule="auto"/>
        <w:outlineLvl w:val="1"/>
        <w:rPr/>
      </w:pPr>
      <w:r>
        <w:rPr>
          <w:spacing w:val="6"/>
        </w:rPr>
        <w:t>四、试卷题型结构</w:t>
      </w:r>
    </w:p>
    <w:p>
      <w:pPr>
        <w:pStyle w:val="BodyText"/>
        <w:ind w:left="444"/>
        <w:spacing w:before="63" w:line="228" w:lineRule="auto"/>
        <w:rPr/>
      </w:pPr>
      <w:r>
        <w:rPr>
          <w:spacing w:val="3"/>
        </w:rPr>
        <w:t>分三种题型：名词解释（概念题）、简答题和论述题（分析题</w:t>
      </w:r>
      <w:r>
        <w:rPr>
          <w:spacing w:val="2"/>
        </w:rPr>
        <w:t>）。</w:t>
      </w:r>
    </w:p>
    <w:p>
      <w:pPr>
        <w:pStyle w:val="BodyText"/>
        <w:ind w:left="452"/>
        <w:spacing w:before="66" w:line="228" w:lineRule="auto"/>
        <w:rPr/>
      </w:pPr>
      <w:r>
        <w:rPr>
          <w:spacing w:val="5"/>
        </w:rPr>
        <w:t>（一） 名词解释：</w:t>
      </w:r>
      <w:r>
        <w:rPr>
          <w:rFonts w:ascii="Times New Roman" w:hAnsi="Times New Roman" w:eastAsia="Times New Roman" w:cs="Times New Roman"/>
          <w:spacing w:val="5"/>
        </w:rPr>
        <w:t>6-8 </w:t>
      </w:r>
      <w:r>
        <w:rPr>
          <w:spacing w:val="5"/>
        </w:rPr>
        <w:t>题。</w:t>
      </w:r>
    </w:p>
    <w:p>
      <w:pPr>
        <w:pStyle w:val="BodyText"/>
        <w:ind w:left="452"/>
        <w:spacing w:before="64" w:line="228" w:lineRule="auto"/>
        <w:rPr/>
      </w:pPr>
      <w:r>
        <w:rPr>
          <w:spacing w:val="4"/>
        </w:rPr>
        <w:t>（二） 简答题：</w:t>
      </w:r>
      <w:r>
        <w:rPr>
          <w:rFonts w:ascii="Times New Roman" w:hAnsi="Times New Roman" w:eastAsia="Times New Roman" w:cs="Times New Roman"/>
          <w:spacing w:val="4"/>
        </w:rPr>
        <w:t>3-4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4"/>
        </w:rPr>
        <w:t>题。</w:t>
      </w:r>
    </w:p>
    <w:p>
      <w:pPr>
        <w:pStyle w:val="BodyText"/>
        <w:ind w:left="452"/>
        <w:spacing w:before="65" w:line="231" w:lineRule="auto"/>
        <w:rPr/>
      </w:pPr>
      <w:r>
        <w:rPr>
          <w:spacing w:val="4"/>
        </w:rPr>
        <w:t>（三） 论述题：</w:t>
      </w:r>
      <w:r>
        <w:rPr>
          <w:rFonts w:ascii="Times New Roman" w:hAnsi="Times New Roman" w:eastAsia="Times New Roman" w:cs="Times New Roman"/>
          <w:spacing w:val="4"/>
        </w:rPr>
        <w:t>1-2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4"/>
        </w:rPr>
        <w:t>题。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6" w:line="228" w:lineRule="auto"/>
        <w:rPr/>
      </w:pPr>
      <w:r>
        <w:rPr>
          <w:b/>
          <w:bCs/>
          <w:spacing w:val="-4"/>
        </w:rPr>
        <w:t>Ⅲ.</w:t>
      </w:r>
      <w:r>
        <w:rPr>
          <w:spacing w:val="63"/>
        </w:rPr>
        <w:t xml:space="preserve"> </w:t>
      </w:r>
      <w:r>
        <w:rPr>
          <w:b/>
          <w:bCs/>
          <w:spacing w:val="-4"/>
        </w:rPr>
        <w:t>考查范围</w:t>
      </w:r>
    </w:p>
    <w:p>
      <w:pPr>
        <w:pStyle w:val="BodyText"/>
        <w:ind w:left="450" w:right="5425" w:hanging="8"/>
        <w:spacing w:before="64" w:line="265" w:lineRule="auto"/>
        <w:rPr>
          <w:rFonts w:ascii="Times New Roman" w:hAnsi="Times New Roman" w:eastAsia="Times New Roman" w:cs="Times New Roman"/>
        </w:rPr>
      </w:pPr>
      <w:r>
        <w:rPr>
          <w:spacing w:val="9"/>
        </w:rPr>
        <w:t>第一部分：文物与文物研究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[</w:t>
      </w:r>
      <w:r>
        <w:rPr>
          <w:spacing w:val="4"/>
        </w:rPr>
        <w:t>考查目标</w:t>
      </w:r>
      <w:r>
        <w:rPr>
          <w:rFonts w:ascii="Times New Roman" w:hAnsi="Times New Roman" w:eastAsia="Times New Roman" w:cs="Times New Roman"/>
          <w:spacing w:val="4"/>
        </w:rPr>
        <w:t>]</w:t>
      </w:r>
    </w:p>
    <w:p>
      <w:pPr>
        <w:pStyle w:val="BodyText"/>
        <w:ind w:left="458"/>
        <w:spacing w:before="50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5"/>
        </w:rPr>
        <w:t>、 准确理解文物的概念、</w:t>
      </w:r>
      <w:r>
        <w:rPr>
          <w:spacing w:val="-58"/>
        </w:rPr>
        <w:t xml:space="preserve"> </w:t>
      </w:r>
      <w:r>
        <w:rPr>
          <w:spacing w:val="5"/>
        </w:rPr>
        <w:t>内涵及与相关学科的关系。</w:t>
      </w:r>
    </w:p>
    <w:p>
      <w:pPr>
        <w:pStyle w:val="BodyText"/>
        <w:ind w:left="4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6"/>
        </w:rPr>
        <w:t>、 正确理解文物的价值与作用。</w:t>
      </w:r>
    </w:p>
    <w:p>
      <w:pPr>
        <w:pStyle w:val="BodyText"/>
        <w:ind w:left="44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7"/>
        </w:rPr>
        <w:t>、 正确理解中外文物研究的历史与方法。</w:t>
      </w:r>
    </w:p>
    <w:p>
      <w:pPr>
        <w:pStyle w:val="BodyText"/>
        <w:ind w:left="437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、 熟悉并能正确理解文物的保护、管理和利用及其关系。</w:t>
      </w:r>
    </w:p>
    <w:p>
      <w:pPr>
        <w:pStyle w:val="BodyText"/>
        <w:ind w:left="445"/>
        <w:spacing w:before="64" w:line="228" w:lineRule="auto"/>
        <w:rPr/>
      </w:pPr>
      <w:r>
        <w:rPr>
          <w:spacing w:val="5"/>
        </w:rPr>
        <w:t>一、文物的概念、</w:t>
      </w:r>
      <w:r>
        <w:rPr>
          <w:spacing w:val="-44"/>
        </w:rPr>
        <w:t xml:space="preserve"> </w:t>
      </w:r>
      <w:r>
        <w:rPr>
          <w:spacing w:val="5"/>
        </w:rPr>
        <w:t>内涵和学科属性。</w:t>
      </w:r>
    </w:p>
    <w:p>
      <w:pPr>
        <w:pStyle w:val="BodyText"/>
        <w:ind w:left="445"/>
        <w:spacing w:before="65" w:line="227" w:lineRule="auto"/>
        <w:rPr/>
      </w:pPr>
      <w:r>
        <w:rPr>
          <w:spacing w:val="7"/>
        </w:rPr>
        <w:t>二、文物的价值和作用。</w:t>
      </w:r>
    </w:p>
    <w:p>
      <w:pPr>
        <w:pStyle w:val="BodyText"/>
        <w:ind w:left="442"/>
        <w:spacing w:before="66" w:line="228" w:lineRule="auto"/>
        <w:rPr/>
      </w:pPr>
      <w:r>
        <w:rPr>
          <w:spacing w:val="8"/>
        </w:rPr>
        <w:t>三、中外文物研究的历史与方法。</w:t>
      </w:r>
    </w:p>
    <w:p>
      <w:pPr>
        <w:pStyle w:val="BodyText"/>
        <w:ind w:left="461"/>
        <w:spacing w:before="66" w:line="228" w:lineRule="auto"/>
        <w:rPr/>
      </w:pPr>
      <w:r>
        <w:rPr>
          <w:spacing w:val="6"/>
        </w:rPr>
        <w:t>四、文物保护与管理、利用。</w:t>
      </w:r>
    </w:p>
    <w:p>
      <w:pPr>
        <w:pStyle w:val="BodyText"/>
        <w:ind w:left="445"/>
        <w:spacing w:before="64" w:line="228" w:lineRule="auto"/>
        <w:rPr/>
      </w:pPr>
      <w:r>
        <w:rPr>
          <w:spacing w:val="9"/>
        </w:rPr>
        <w:t>五、文物保护技术与自然科学分析技术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450" w:right="5845" w:hanging="8"/>
        <w:spacing w:before="65" w:line="265" w:lineRule="auto"/>
        <w:rPr>
          <w:rFonts w:ascii="Times New Roman" w:hAnsi="Times New Roman" w:eastAsia="Times New Roman" w:cs="Times New Roman"/>
        </w:rPr>
      </w:pPr>
      <w:r>
        <w:rPr>
          <w:spacing w:val="8"/>
        </w:rPr>
        <w:t>第二部分：可移动文物 </w:t>
      </w:r>
      <w:r>
        <w:rPr>
          <w:rFonts w:ascii="Times New Roman" w:hAnsi="Times New Roman" w:eastAsia="Times New Roman" w:cs="Times New Roman"/>
          <w:spacing w:val="4"/>
        </w:rPr>
        <w:t>[</w:t>
      </w:r>
      <w:r>
        <w:rPr>
          <w:spacing w:val="4"/>
        </w:rPr>
        <w:t>考查目标</w:t>
      </w:r>
      <w:r>
        <w:rPr>
          <w:rFonts w:ascii="Times New Roman" w:hAnsi="Times New Roman" w:eastAsia="Times New Roman" w:cs="Times New Roman"/>
          <w:spacing w:val="4"/>
        </w:rPr>
        <w:t>]</w:t>
      </w:r>
    </w:p>
    <w:p>
      <w:pPr>
        <w:pStyle w:val="BodyText"/>
        <w:ind w:left="458"/>
        <w:spacing w:before="50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 正确理解陶器、瓷器、青铜器、玉器、金银器等可移动文物的定义与内容。</w:t>
      </w:r>
    </w:p>
    <w:p>
      <w:pPr>
        <w:pStyle w:val="BodyText"/>
        <w:ind w:left="4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 准确掌握陶器、瓷器、青铜器、玉器</w:t>
      </w:r>
      <w:r>
        <w:rPr>
          <w:spacing w:val="8"/>
        </w:rPr>
        <w:t>、金银器等可移动文物的研究方法。</w:t>
      </w:r>
    </w:p>
    <w:p>
      <w:pPr>
        <w:pStyle w:val="BodyText"/>
        <w:ind w:left="44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、 准确掌握近现代可移动文物的定义与内涵</w:t>
      </w:r>
    </w:p>
    <w:p>
      <w:pPr>
        <w:pStyle w:val="BodyText"/>
        <w:ind w:left="445"/>
        <w:spacing w:before="65" w:line="228" w:lineRule="auto"/>
        <w:rPr/>
      </w:pPr>
      <w:r>
        <w:rPr>
          <w:spacing w:val="8"/>
        </w:rPr>
        <w:t>一、可移动文物的分类、技术工艺、功用。</w:t>
      </w:r>
    </w:p>
    <w:p>
      <w:pPr>
        <w:pStyle w:val="BodyText"/>
        <w:ind w:left="445"/>
        <w:spacing w:before="64" w:line="228" w:lineRule="auto"/>
        <w:rPr/>
      </w:pPr>
      <w:r>
        <w:rPr>
          <w:spacing w:val="8"/>
        </w:rPr>
        <w:t>二、可移动文物的时代特征与发展简史。</w:t>
      </w:r>
    </w:p>
    <w:p>
      <w:pPr>
        <w:spacing w:line="228" w:lineRule="auto"/>
        <w:sectPr>
          <w:footerReference w:type="default" r:id="rId1"/>
          <w:pgSz w:w="11906" w:h="16839"/>
          <w:pgMar w:top="1431" w:right="1743" w:bottom="1362" w:left="1785" w:header="0" w:footer="1200" w:gutter="0"/>
        </w:sectPr>
        <w:rPr/>
      </w:pPr>
    </w:p>
    <w:p>
      <w:pPr>
        <w:pStyle w:val="BodyText"/>
        <w:ind w:left="442"/>
        <w:spacing w:before="61" w:line="228" w:lineRule="auto"/>
        <w:rPr/>
      </w:pPr>
      <w:r>
        <w:rPr>
          <w:spacing w:val="9"/>
        </w:rPr>
        <w:t>三、近现代可移动文物的定义、分类与意义。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50" w:right="5591" w:hanging="8"/>
        <w:spacing w:before="65" w:line="265" w:lineRule="auto"/>
        <w:rPr>
          <w:rFonts w:ascii="Times New Roman" w:hAnsi="Times New Roman" w:eastAsia="Times New Roman" w:cs="Times New Roman"/>
        </w:rPr>
      </w:pPr>
      <w:r>
        <w:rPr>
          <w:spacing w:val="9"/>
        </w:rPr>
        <w:t>第三部分：不可移动文物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[</w:t>
      </w:r>
      <w:r>
        <w:rPr>
          <w:spacing w:val="4"/>
        </w:rPr>
        <w:t>考查目标</w:t>
      </w:r>
      <w:r>
        <w:rPr>
          <w:rFonts w:ascii="Times New Roman" w:hAnsi="Times New Roman" w:eastAsia="Times New Roman" w:cs="Times New Roman"/>
          <w:spacing w:val="4"/>
        </w:rPr>
        <w:t>]</w:t>
      </w:r>
    </w:p>
    <w:p>
      <w:pPr>
        <w:pStyle w:val="BodyText"/>
        <w:ind w:left="458"/>
        <w:spacing w:before="50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 正确理解古遗址、古墓葬、古建筑等不可移动文</w:t>
      </w:r>
      <w:r>
        <w:rPr>
          <w:spacing w:val="7"/>
        </w:rPr>
        <w:t>物的定义与内容。</w:t>
      </w:r>
    </w:p>
    <w:p>
      <w:pPr>
        <w:pStyle w:val="BodyText"/>
        <w:ind w:left="438"/>
        <w:spacing w:before="64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8"/>
        </w:rPr>
        <w:t>、 准确掌握不可移动文物的时代特征和作用、价值。</w:t>
      </w:r>
    </w:p>
    <w:p>
      <w:pPr>
        <w:pStyle w:val="BodyText"/>
        <w:ind w:left="44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8"/>
        </w:rPr>
        <w:t>、 能够运用相关知识分析和阐释考古学现象和人类社会相关问题。</w:t>
      </w:r>
    </w:p>
    <w:p>
      <w:pPr>
        <w:pStyle w:val="BodyText"/>
        <w:ind w:left="445"/>
        <w:spacing w:before="66" w:line="228" w:lineRule="auto"/>
        <w:rPr/>
      </w:pPr>
      <w:r>
        <w:rPr>
          <w:spacing w:val="7"/>
        </w:rPr>
        <w:t>一、不可移动文物的定义、</w:t>
      </w:r>
      <w:r>
        <w:rPr>
          <w:spacing w:val="-56"/>
        </w:rPr>
        <w:t xml:space="preserve"> </w:t>
      </w:r>
      <w:r>
        <w:rPr>
          <w:spacing w:val="7"/>
        </w:rPr>
        <w:t>内涵、类型、时代特征。</w:t>
      </w:r>
    </w:p>
    <w:p>
      <w:pPr>
        <w:pStyle w:val="BodyText"/>
        <w:ind w:left="445"/>
        <w:spacing w:before="64" w:line="229" w:lineRule="auto"/>
        <w:rPr/>
      </w:pPr>
      <w:r>
        <w:rPr>
          <w:spacing w:val="8"/>
        </w:rPr>
        <w:t>二、不可移动文物的保护与利用。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6" w:line="228" w:lineRule="auto"/>
        <w:rPr/>
      </w:pPr>
      <w:r>
        <w:rPr>
          <w:spacing w:val="6"/>
        </w:rPr>
        <w:t>主要参考文献：</w:t>
      </w:r>
    </w:p>
    <w:p>
      <w:pPr>
        <w:pStyle w:val="BodyText"/>
        <w:ind w:left="45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1.    </w:t>
      </w:r>
      <w:r>
        <w:rPr>
          <w:spacing w:val="2"/>
        </w:rPr>
        <w:t>《文物学概论》编写组：《文物学概论》，高等教育出版社，</w:t>
      </w:r>
      <w:r>
        <w:rPr>
          <w:rFonts w:ascii="Times New Roman" w:hAnsi="Times New Roman" w:eastAsia="Times New Roman" w:cs="Times New Roman"/>
          <w:spacing w:val="2"/>
        </w:rPr>
        <w:t>201</w:t>
      </w:r>
      <w:r>
        <w:rPr>
          <w:rFonts w:ascii="Times New Roman" w:hAnsi="Times New Roman" w:eastAsia="Times New Roman" w:cs="Times New Roman"/>
          <w:spacing w:val="1"/>
        </w:rPr>
        <w:t>9 </w:t>
      </w:r>
      <w:r>
        <w:rPr>
          <w:spacing w:val="1"/>
        </w:rPr>
        <w:t>年。</w:t>
      </w:r>
    </w:p>
    <w:p>
      <w:pPr>
        <w:pStyle w:val="BodyText"/>
        <w:ind w:left="4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李晓东：《文物学》，学苑出版社，</w:t>
      </w:r>
      <w:r>
        <w:rPr>
          <w:rFonts w:ascii="Times New Roman" w:hAnsi="Times New Roman" w:eastAsia="Times New Roman" w:cs="Times New Roman"/>
          <w:spacing w:val="-1"/>
        </w:rPr>
        <w:t>2005 </w:t>
      </w:r>
      <w:r>
        <w:rPr>
          <w:spacing w:val="-1"/>
        </w:rPr>
        <w:t>年。</w:t>
      </w:r>
    </w:p>
    <w:sectPr>
      <w:footerReference w:type="default" r:id="rId2"/>
      <w:pgSz w:w="11906" w:h="16839"/>
      <w:pgMar w:top="1431" w:right="1785" w:bottom="1362" w:left="1785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2023-09-26T10:27:34Z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2024-10-14T10:39:27</vt:filetime>
  </property>
</Properties>
</file>