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45B4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</w:t>
      </w:r>
      <w:r>
        <w:rPr>
          <w:rFonts w:ascii="楷体_GB2312"/>
          <w:b/>
          <w:bCs/>
          <w:sz w:val="28"/>
        </w:rPr>
        <w:t>202</w:t>
      </w:r>
      <w:r>
        <w:rPr>
          <w:rFonts w:hint="eastAsia" w:ascii="楷体_GB2312"/>
          <w:b/>
          <w:bCs/>
          <w:sz w:val="28"/>
        </w:rPr>
        <w:t>5年</w:t>
      </w:r>
    </w:p>
    <w:p w14:paraId="356D3D15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7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53F04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D82CECF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center"/>
          </w:tcPr>
          <w:p w14:paraId="503A6392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中药专业基础综合</w:t>
            </w:r>
          </w:p>
        </w:tc>
      </w:tr>
      <w:tr w14:paraId="54E0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25C3830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0CDD04B3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Cs w:val="21"/>
              </w:rPr>
              <w:t xml:space="preserve">学术学位     </w:t>
            </w:r>
            <w:r>
              <w:rPr>
                <w:rFonts w:hint="eastAsia" w:ascii="宋体" w:hAnsi="宋体" w:eastAsia="宋体"/>
                <w:b/>
                <w:szCs w:val="21"/>
              </w:rPr>
              <w:sym w:font="Wingdings 2" w:char="F052"/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0CDC7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D1D8A70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center"/>
          </w:tcPr>
          <w:p w14:paraId="511029DF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eastAsia="宋体"/>
                <w:b/>
                <w:bCs/>
                <w:kern w:val="44"/>
              </w:rPr>
              <w:t>中药</w:t>
            </w:r>
          </w:p>
        </w:tc>
      </w:tr>
    </w:tbl>
    <w:p w14:paraId="551EF545">
      <w:pPr>
        <w:spacing w:line="400" w:lineRule="exact"/>
        <w:rPr>
          <w:rFonts w:hint="eastAsia" w:ascii="黑体" w:eastAsia="黑体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12D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noWrap w:val="0"/>
            <w:vAlign w:val="top"/>
          </w:tcPr>
          <w:p w14:paraId="41EA701C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39B377C7">
            <w:pPr>
              <w:spacing w:after="156" w:afterLines="50" w:line="360" w:lineRule="auto"/>
              <w:ind w:firstLine="482" w:firstLineChars="200"/>
              <w:jc w:val="center"/>
              <w:rPr>
                <w:rFonts w:ascii="宋体" w:hAnsi="宋体" w:eastAsia="宋体" w:cs="等线"/>
                <w:b/>
                <w:bCs/>
              </w:rPr>
            </w:pPr>
            <w:r>
              <w:rPr>
                <w:rFonts w:hint="eastAsia" w:ascii="宋体" w:hAnsi="宋体" w:eastAsia="宋体" w:cs="等线"/>
                <w:b/>
                <w:bCs/>
              </w:rPr>
              <w:t>中药学</w:t>
            </w:r>
          </w:p>
          <w:p w14:paraId="67D9AABD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总论</w:t>
            </w:r>
          </w:p>
          <w:p w14:paraId="2674FBB9">
            <w:pPr>
              <w:pStyle w:val="3"/>
              <w:adjustRightInd w:val="0"/>
              <w:spacing w:line="360" w:lineRule="auto"/>
              <w:ind w:firstLine="525" w:firstLineChars="25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掌握中药、中药学概念；熟悉各个时期</w:t>
            </w:r>
            <w:r>
              <w:rPr>
                <w:rFonts w:hint="eastAsia" w:ascii="Times New Roman" w:hAnsi="Times New Roman" w:cs="Times New Roman"/>
              </w:rPr>
              <w:t>中医药</w:t>
            </w:r>
            <w:r>
              <w:rPr>
                <w:rFonts w:ascii="Times New Roman" w:hAnsi="Times New Roman" w:cs="Times New Roman"/>
              </w:rPr>
              <w:t>学术发展特点及主要本草著作。掌握中药药性理论的概念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中药治病的基本</w:t>
            </w:r>
            <w:r>
              <w:rPr>
                <w:rFonts w:hint="eastAsia" w:ascii="Times New Roman" w:hAnsi="Times New Roman" w:cs="Times New Roman"/>
              </w:rPr>
              <w:t>作用</w:t>
            </w:r>
            <w:r>
              <w:rPr>
                <w:rFonts w:ascii="Times New Roman" w:hAnsi="Times New Roman" w:cs="Times New Roman"/>
              </w:rPr>
              <w:t>；四气、五味、升降浮沉、归经、毒性</w:t>
            </w:r>
            <w:r>
              <w:rPr>
                <w:rFonts w:hint="eastAsia" w:ascii="Times New Roman" w:hAnsi="Times New Roman" w:cs="Times New Roman"/>
              </w:rPr>
              <w:t>、配伍、用药禁忌等</w:t>
            </w:r>
            <w:r>
              <w:rPr>
                <w:rFonts w:ascii="Times New Roman" w:hAnsi="Times New Roman" w:cs="Times New Roman"/>
              </w:rPr>
              <w:t>概念及其对临床用药的指导意义。</w:t>
            </w:r>
          </w:p>
          <w:p w14:paraId="0BE542E2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解表药</w:t>
            </w:r>
          </w:p>
          <w:p w14:paraId="70E62AB0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掌握解表药的含义、性能、功效、应用、分类、配伍原则及使用注意。掌握发散风寒药与发散风热药的性能特点和适应证；麻黄、桂枝、生姜、香薷等药性、功效、应用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。了解散风寒、散风热、祛风、透疹、通鼻窍、宣肺、通阳、祛暑化湿等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。熟悉柴胡、升麻、葛根三者间的异同点。</w:t>
            </w:r>
          </w:p>
          <w:p w14:paraId="01E5EF51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清热药</w:t>
            </w:r>
          </w:p>
          <w:p w14:paraId="53AEF65B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掌握清热药的含义、性能、功效、应用、分类、配伍原则及使用注意；石膏、知母、黄芩、黄连、黄柏、金银花、生地黄、青蒿等药性、功效、应用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。了解清热泻火、清热燥湿、清热凉血、清热解毒、清热生津、清虚热等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。熟悉黄芩、黄连、黄柏的异同点。</w:t>
            </w:r>
          </w:p>
          <w:p w14:paraId="340797A8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泻下药</w:t>
            </w:r>
          </w:p>
          <w:p w14:paraId="0FD69288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掌握泻下药的含义、性能、功效、应用、分类、配伍原则及使用注意；大黄、芒硝、巴豆霜等药性、功效、应用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。了解泻下攻积、润肠通便、峻下逐水等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27E87471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温里药</w:t>
            </w:r>
          </w:p>
          <w:p w14:paraId="79FE2BEF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掌握温里药的含义、性能、功效、应用、配伍原则及使用注意；附子、干姜、肉桂等药性、功效、应用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。了解温中、温经散寒止痛、温阳、回阳、引火归元等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。熟悉肉桂引火归元的阐述和应用。</w:t>
            </w:r>
          </w:p>
          <w:p w14:paraId="70DE5AC9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 祛风湿药</w:t>
            </w:r>
          </w:p>
          <w:p w14:paraId="22354B54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掌握祛风湿药的含义、性能、功效、应用、分类、配伍原则及使用注意；独活、威灵仙、秦艽等药性、功效、应用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。明确祛风湿、舒筋通络、强筋骨等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。熟悉独活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羌活的异同点。</w:t>
            </w:r>
          </w:p>
          <w:p w14:paraId="387FFD66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 化湿药</w:t>
            </w:r>
          </w:p>
          <w:p w14:paraId="1700E473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掌握化湿药的含义、性能、功效、应用、配伍原则及使用注意；广藿香、佩兰、苍术等药性、功效、应用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。了解化湿、燥湿等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。熟悉苍术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白术的异同点。</w:t>
            </w:r>
          </w:p>
          <w:p w14:paraId="3B4FBF31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 利水渗湿药</w:t>
            </w:r>
          </w:p>
          <w:p w14:paraId="1E70DBE8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掌握利水渗湿药的含义、性能、功效、应用、分类、配伍原则及使用注意；茯苓、茵陈等药性、功效、应用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。了解清热利湿、通淋、利湿退黄等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5479D40D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 理气药</w:t>
            </w:r>
          </w:p>
          <w:p w14:paraId="1221810B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掌握理气药的含义、性能、功效、应用、配伍原则及使用注意；陈皮、香附、乌药等药性、功效、应用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。了解行气、破气、降气疏肝等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199A96BA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 消食药</w:t>
            </w:r>
          </w:p>
          <w:p w14:paraId="57578EAE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掌握消食药的含义、作用、适应证、配伍原则及使用注意；山楂、麦芽、莱菔子、六神曲等药性、功效、应用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5A393055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 止血药</w:t>
            </w:r>
          </w:p>
          <w:p w14:paraId="6CB474FF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掌握止血药的含义、性能、功效、应用、分类、配伍原则及使用注意；大小蓟、三七、白及等药性、功效、应用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。了解凉血止血、化瘀止血、收敛止血、温经止血等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。熟悉生姜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干姜、炮姜的异同点。</w:t>
            </w:r>
          </w:p>
          <w:p w14:paraId="0C14235B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 活血化瘀药</w:t>
            </w:r>
          </w:p>
          <w:p w14:paraId="648AF3D4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掌握活血化瘀药的含义、性能、功效、应用、分类、配伍原则及使用注意；川芎、延胡索、丹参、红花（西红花）等药性、功效、应用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。了解活血祛瘀、破瘀、祛瘀生新、引血下行等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09CE06CC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 化痰止咳平喘药</w:t>
            </w:r>
          </w:p>
          <w:p w14:paraId="50BA3E98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掌握化痰止咳平喘药的含义、性能、功效、应用、分类、配伍原则及使用注意；半夏、天南星、贝母等药性、功效、应用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。了解燥湿化痰、清热化痰、祛风痰、润肺、泻肺等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。熟悉川贝母、浙贝母的异同点。</w:t>
            </w:r>
          </w:p>
          <w:p w14:paraId="0F2EA15E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 安神药</w:t>
            </w:r>
          </w:p>
          <w:p w14:paraId="54BCE008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掌握安神药的含义、性能、功效、应用、分类、配伍原则及使用注意；朱砂、酸枣仁、灵芝等药性、功效、应用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。了解重镇安神、养心安神等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6486A3C6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 平肝息风药</w:t>
            </w:r>
          </w:p>
          <w:p w14:paraId="2156418C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掌握平肝息风药的含义、性能、功效、应用、分类、配伍原则及使用注意；石决明、羚羊角、天麻等药性、功效、应用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。.了解平肝潜阳、息风止痉等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；内外风的区别和药物应用。</w:t>
            </w:r>
          </w:p>
          <w:p w14:paraId="0E80BE48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 补虚药</w:t>
            </w:r>
          </w:p>
          <w:p w14:paraId="36BE44CA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掌握补虚药的含义、性能、功效、应用、分类、配伍原则及使用注意；人参、鹿茸、当归、石斛（铁皮石斛）、黄精等药性、功效、应用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。了解补气、升阳、固表、补阳、壮阳、纳气平喘、补血、柔肝、补阴等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。熟悉补虚药的合理使用；人参和党参的异同点。</w:t>
            </w:r>
          </w:p>
          <w:p w14:paraId="2B8BAA32"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 收涩药</w:t>
            </w:r>
          </w:p>
          <w:p w14:paraId="7E56223C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掌握收涩药的含义、性能、功效、应用、分类、配伍原则及使用注意；麻黄根、五味子、山茱萸等药性、功效、应用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。了解敛肺止咳、涩肠止泻等</w:t>
            </w:r>
            <w:r>
              <w:rPr>
                <w:rFonts w:hint="eastAsia" w:ascii="Times New Roman" w:hAnsi="Times New Roman" w:cs="Times New Roman"/>
              </w:rPr>
              <w:t>含义</w:t>
            </w:r>
            <w:r>
              <w:rPr>
                <w:rFonts w:ascii="Times New Roman" w:hAnsi="Times New Roman" w:cs="Times New Roman"/>
              </w:rPr>
              <w:t>。熟悉麻黄、麻黄根的异同点。</w:t>
            </w:r>
          </w:p>
          <w:p w14:paraId="556E179A">
            <w:pPr>
              <w:rPr>
                <w:rFonts w:ascii="宋体" w:eastAsia="宋体"/>
                <w:sz w:val="21"/>
              </w:rPr>
            </w:pPr>
          </w:p>
          <w:p w14:paraId="7ADDD5D9">
            <w:pPr>
              <w:spacing w:after="156" w:afterLines="50" w:line="360" w:lineRule="auto"/>
              <w:ind w:firstLine="482" w:firstLineChars="200"/>
              <w:jc w:val="center"/>
              <w:rPr>
                <w:rFonts w:hint="eastAsia" w:ascii="宋体" w:hAnsi="宋体" w:eastAsia="宋体" w:cs="等线"/>
                <w:b/>
                <w:bCs/>
              </w:rPr>
            </w:pPr>
            <w:r>
              <w:rPr>
                <w:rFonts w:ascii="宋体" w:hAnsi="宋体" w:eastAsia="宋体" w:cs="等线"/>
                <w:b/>
                <w:bCs/>
              </w:rPr>
              <w:t>中药化学（其中实验约占20%）</w:t>
            </w:r>
          </w:p>
          <w:p w14:paraId="59187825">
            <w:pPr>
              <w:spacing w:line="360" w:lineRule="auto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1. 绪论</w:t>
            </w:r>
          </w:p>
          <w:p w14:paraId="6FF1FA06">
            <w:pPr>
              <w:pStyle w:val="3"/>
              <w:adjustRightInd w:val="0"/>
              <w:spacing w:line="360" w:lineRule="auto"/>
              <w:ind w:firstLine="425"/>
              <w:outlineLvl w:val="0"/>
            </w:pPr>
            <w:r>
              <w:t>掌握中药</w:t>
            </w:r>
            <w:r>
              <w:rPr>
                <w:rFonts w:ascii="Times New Roman" w:hAnsi="Times New Roman" w:cs="Times New Roman"/>
              </w:rPr>
              <w:t>化学</w:t>
            </w:r>
            <w:r>
              <w:t>的定义</w:t>
            </w:r>
            <w:r>
              <w:rPr>
                <w:rFonts w:hint="eastAsia"/>
              </w:rPr>
              <w:t>；</w:t>
            </w:r>
            <w:r>
              <w:t>掌握中药化学与植物化学、天然药物化学的关系</w:t>
            </w:r>
            <w:r>
              <w:rPr>
                <w:rFonts w:hint="eastAsia"/>
              </w:rPr>
              <w:t>；</w:t>
            </w:r>
            <w:r>
              <w:t>掌握中药化学在中医药现代化中的作用。</w:t>
            </w:r>
          </w:p>
          <w:p w14:paraId="6440B161">
            <w:pPr>
              <w:spacing w:line="360" w:lineRule="auto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2. 糖和苷类化合物</w:t>
            </w:r>
          </w:p>
          <w:p w14:paraId="4A95758B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</w:rPr>
            </w:pPr>
            <w:r>
              <w:t>掌握单糖的</w:t>
            </w:r>
            <w:r>
              <w:rPr>
                <w:rFonts w:ascii="Times New Roman" w:hAnsi="Times New Roman" w:cs="Times New Roman"/>
              </w:rPr>
              <w:t>立体化学：Fischer式和Haworth式的转换关系，糖的绝对构</w:t>
            </w:r>
            <w:r>
              <w:t>型表示方法；掌握糖的分类：五碳醛糖、六碳醛糖、甲基五</w:t>
            </w:r>
            <w:r>
              <w:rPr>
                <w:rFonts w:ascii="Times New Roman" w:hAnsi="Times New Roman" w:cs="Times New Roman"/>
              </w:rPr>
              <w:t>碳醛糖、去氧糖、糖醛酸；掌握还原糖与非还原糖的区别；了解低聚糖的概念，多糖的类别；掌握糖的化学性质：molish 反应、fehling反应、Tollen 反应； 掌握苷键的酸催化水解、乙酰解反应、碱催化水解和β-消除反应、过碘酸裂解反应；了解苷键的酶催化水解反应、糖醛酸苷的选择性水解反应；掌握糖端基质子、端基碳和甲基五碳糖的甲基的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H和</w:t>
            </w:r>
            <w:r>
              <w:rPr>
                <w:rFonts w:ascii="Times New Roman" w:hAnsi="Times New Roman" w:cs="Times New Roman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</w:rPr>
              <w:t>C NMR性质、苷化位移；了解多糖的纯度测定；了解糖及苷的提取与分离。</w:t>
            </w:r>
          </w:p>
          <w:p w14:paraId="6B5410C7">
            <w:pPr>
              <w:spacing w:line="360" w:lineRule="auto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3. 醌类化合物</w:t>
            </w:r>
          </w:p>
          <w:p w14:paraId="248D5F5C">
            <w:pPr>
              <w:pStyle w:val="3"/>
              <w:adjustRightInd w:val="0"/>
              <w:spacing w:line="360" w:lineRule="auto"/>
              <w:ind w:firstLine="425"/>
              <w:outlineLvl w:val="0"/>
            </w:pPr>
            <w:r>
              <w:t>掌握醌类的结构类型、重要代表物及其生物活性；掌握醌类的理化性质：性状、升华性及挥发性、溶解度、稳定性、酸性、显色反应；掌握醌类的</w:t>
            </w:r>
            <w:r>
              <w:rPr>
                <w:rFonts w:ascii="Times New Roman" w:hAnsi="Times New Roman" w:cs="Times New Roman"/>
              </w:rPr>
              <w:t>提取</w:t>
            </w:r>
            <w:r>
              <w:t>分离；掌握醌类</w:t>
            </w:r>
            <w:r>
              <w:rPr>
                <w:rFonts w:ascii="Times New Roman" w:hAnsi="Times New Roman" w:cs="Times New Roman"/>
              </w:rPr>
              <w:t>化合物</w:t>
            </w:r>
            <w:r>
              <w:t>的结构鉴定。</w:t>
            </w:r>
          </w:p>
          <w:p w14:paraId="02256B43">
            <w:pPr>
              <w:spacing w:line="360" w:lineRule="auto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4. 苯丙素类化合物</w:t>
            </w:r>
          </w:p>
          <w:p w14:paraId="2B33D3E1">
            <w:pPr>
              <w:pStyle w:val="3"/>
              <w:adjustRightInd w:val="0"/>
              <w:spacing w:line="360" w:lineRule="auto"/>
              <w:ind w:firstLine="425"/>
              <w:outlineLvl w:val="0"/>
            </w:pPr>
            <w:r>
              <w:t>掌握简单苯丙酸、</w:t>
            </w:r>
            <w:r>
              <w:rPr>
                <w:rFonts w:ascii="Times New Roman" w:hAnsi="Times New Roman" w:cs="Times New Roman"/>
              </w:rPr>
              <w:t>香豆素</w:t>
            </w:r>
            <w:r>
              <w:t>和木脂素的结构类型及其骨架形成方式；掌握香豆素的理化性质：性状、溶解性、内酯结构、显色反应；掌握香豆素的波谱学特征；掌握木脂素的理化性质。</w:t>
            </w:r>
          </w:p>
          <w:p w14:paraId="6E22DB2B">
            <w:pPr>
              <w:spacing w:line="360" w:lineRule="auto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5. 黄酮类化合物</w:t>
            </w:r>
          </w:p>
          <w:p w14:paraId="026A2A77">
            <w:pPr>
              <w:pStyle w:val="3"/>
              <w:adjustRightInd w:val="0"/>
              <w:spacing w:line="360" w:lineRule="auto"/>
              <w:ind w:firstLine="425"/>
              <w:outlineLvl w:val="0"/>
            </w:pPr>
            <w:r>
              <w:t>掌握</w:t>
            </w:r>
            <w:r>
              <w:rPr>
                <w:rFonts w:ascii="Times New Roman" w:hAnsi="Times New Roman" w:cs="Times New Roman"/>
              </w:rPr>
              <w:t>黄酮类化合物</w:t>
            </w:r>
            <w:r>
              <w:t>的结构类型；掌握理化性质及显色反应；掌握黄酮类的</w:t>
            </w:r>
            <w:r>
              <w:rPr>
                <w:rFonts w:ascii="Times New Roman" w:hAnsi="Times New Roman" w:cs="Times New Roman"/>
              </w:rPr>
              <w:t>提取</w:t>
            </w:r>
            <w:r>
              <w:t>分离方法；掌握黄酮及其苷类化合物的检识与结构鉴定。</w:t>
            </w:r>
          </w:p>
          <w:p w14:paraId="15DD89BB">
            <w:pPr>
              <w:spacing w:line="360" w:lineRule="auto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6. 萜类和挥发油</w:t>
            </w:r>
          </w:p>
          <w:p w14:paraId="7AEC1941">
            <w:pPr>
              <w:pStyle w:val="3"/>
              <w:adjustRightInd w:val="0"/>
              <w:spacing w:line="360" w:lineRule="auto"/>
              <w:ind w:firstLine="425"/>
              <w:outlineLvl w:val="0"/>
            </w:pPr>
            <w:r>
              <w:t>掌握萜类的含义及分类、生源合成途径；掌握䓬酚酮的理化性质；掌握环烯醚萜的生源途径、理化性质、结构分类及重要代表物；掌握重要倍半萜、二萜的代表物及理化性质；掌握薁类化合物的理化性质；掌握萜类的理化</w:t>
            </w:r>
            <w:r>
              <w:rPr>
                <w:rFonts w:ascii="Times New Roman" w:hAnsi="Times New Roman" w:cs="Times New Roman"/>
              </w:rPr>
              <w:t>性质</w:t>
            </w:r>
            <w:r>
              <w:t>；掌握挥发油的组成和分类、性质、提取和分离；了解挥发油成分的鉴定。</w:t>
            </w:r>
          </w:p>
          <w:p w14:paraId="3185C17E">
            <w:pPr>
              <w:spacing w:line="360" w:lineRule="auto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7. 三萜类化合物</w:t>
            </w:r>
          </w:p>
          <w:p w14:paraId="4738884A">
            <w:pPr>
              <w:pStyle w:val="3"/>
              <w:adjustRightInd w:val="0"/>
              <w:spacing w:line="360" w:lineRule="auto"/>
              <w:ind w:firstLine="425"/>
              <w:outlineLvl w:val="0"/>
            </w:pPr>
            <w:r>
              <w:t>掌握三萜类化合物的定义；掌握四环三萜、五环三萜的分类和基本结构；掌握三萜及其苷类的理化性质；掌握重要三萜皂苷的水解反应、药理作用；掌握三萜皂苷的苷化位移；了解三萜及皂苷的提取分离。</w:t>
            </w:r>
          </w:p>
          <w:p w14:paraId="54048C9D">
            <w:pPr>
              <w:spacing w:line="360" w:lineRule="auto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8. 甾体类化合物</w:t>
            </w:r>
          </w:p>
          <w:p w14:paraId="2C1356CE">
            <w:pPr>
              <w:pStyle w:val="3"/>
              <w:adjustRightInd w:val="0"/>
              <w:spacing w:line="360" w:lineRule="auto"/>
              <w:ind w:firstLine="425"/>
              <w:outlineLvl w:val="0"/>
            </w:pPr>
            <w:r>
              <w:t>掌握甾体类化合物的分类和显色反应；掌握强心苷的化学结构和类型、理化性质、鉴别反应、提取分离方法和生物活性；掌握甾体皂苷的化学结构和类型、理化性质、提取分离方法。</w:t>
            </w:r>
          </w:p>
          <w:p w14:paraId="469481AC">
            <w:pPr>
              <w:spacing w:line="360" w:lineRule="auto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9. 生物碱</w:t>
            </w:r>
          </w:p>
          <w:p w14:paraId="31CF7A57">
            <w:pPr>
              <w:pStyle w:val="3"/>
              <w:adjustRightInd w:val="0"/>
              <w:spacing w:line="360" w:lineRule="auto"/>
              <w:ind w:firstLine="425"/>
              <w:outlineLvl w:val="0"/>
            </w:pPr>
            <w:r>
              <w:t>掌握生物碱的定义、存在形式、分类；掌握生物碱的理化性质：性状、旋光性、溶解性、碱性、沉淀反应和显色反应；掌握生物碱的提取与分离。</w:t>
            </w:r>
          </w:p>
          <w:p w14:paraId="44C60172">
            <w:pPr>
              <w:spacing w:line="360" w:lineRule="auto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10. 鞣质</w:t>
            </w:r>
          </w:p>
          <w:p w14:paraId="05AEF1E4">
            <w:pPr>
              <w:pStyle w:val="3"/>
              <w:adjustRightInd w:val="0"/>
              <w:spacing w:line="360" w:lineRule="auto"/>
              <w:ind w:firstLine="425"/>
              <w:outlineLvl w:val="0"/>
            </w:pPr>
            <w:r>
              <w:t>了解鞣质的结构分类、理化性质。</w:t>
            </w:r>
          </w:p>
          <w:p w14:paraId="7E7EECD1">
            <w:pPr>
              <w:spacing w:line="360" w:lineRule="auto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11. 其他成分</w:t>
            </w:r>
          </w:p>
          <w:p w14:paraId="1EA043FE">
            <w:pPr>
              <w:pStyle w:val="3"/>
              <w:adjustRightInd w:val="0"/>
              <w:spacing w:line="360" w:lineRule="auto"/>
              <w:ind w:firstLine="425"/>
              <w:outlineLvl w:val="0"/>
            </w:pPr>
            <w:r>
              <w:t>了解脂肪酸类化合物的结构与分类、理化性质、提取方法；了解含硫化合物的中药；了解海洋中药化学成分；了解氨基酸的结构与分类、理性性质。</w:t>
            </w:r>
          </w:p>
          <w:p w14:paraId="282EC5C6">
            <w:pPr>
              <w:spacing w:line="360" w:lineRule="auto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12. 中药有效成分的提取分离方法</w:t>
            </w:r>
          </w:p>
          <w:p w14:paraId="1AC0DA98">
            <w:pPr>
              <w:pStyle w:val="3"/>
              <w:adjustRightInd w:val="0"/>
              <w:spacing w:line="360" w:lineRule="auto"/>
              <w:ind w:firstLine="425"/>
              <w:outlineLvl w:val="0"/>
            </w:pPr>
            <w:r>
              <w:t>掌握中药有效成分的常用分离方法：溶剂法、酸碱溶剂法、沉淀法、经典色谱法、高效液相色谱法；了解逆流色谱法、超滤法、透析法、盐析法、分馏法。</w:t>
            </w:r>
          </w:p>
          <w:p w14:paraId="7E0F06A8">
            <w:pPr>
              <w:rPr>
                <w:rFonts w:hint="eastAsia" w:ascii="宋体" w:eastAsia="宋体"/>
                <w:sz w:val="21"/>
              </w:rPr>
            </w:pPr>
          </w:p>
        </w:tc>
      </w:tr>
      <w:tr w14:paraId="262B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noWrap w:val="0"/>
            <w:vAlign w:val="top"/>
          </w:tcPr>
          <w:p w14:paraId="2760D020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0E80B5EA">
            <w:pPr>
              <w:rPr>
                <w:rFonts w:hint="eastAsia" w:ascii="宋体" w:hAnsi="宋体" w:eastAsia="宋体"/>
                <w:sz w:val="21"/>
              </w:rPr>
            </w:pPr>
          </w:p>
          <w:p w14:paraId="11DBB5A1">
            <w:pPr>
              <w:adjustRightInd w:val="0"/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考试时间：3小时</w:t>
            </w:r>
          </w:p>
          <w:p w14:paraId="50026AE3">
            <w:pPr>
              <w:adjustRightInd w:val="0"/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总分：300分</w:t>
            </w:r>
          </w:p>
          <w:p w14:paraId="2B7AA4EE">
            <w:pPr>
              <w:adjustRightInd w:val="0"/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考试方式：闭卷笔试</w:t>
            </w:r>
          </w:p>
          <w:p w14:paraId="0D828ED8">
            <w:pPr>
              <w:adjustRightInd w:val="0"/>
              <w:spacing w:line="360" w:lineRule="auto"/>
              <w:ind w:firstLine="420" w:firstLineChars="20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题型与分数比例：单选题（30</w:t>
            </w:r>
            <w:r>
              <w:rPr>
                <w:rFonts w:hint="eastAsia" w:eastAsia="宋体"/>
                <w:sz w:val="21"/>
                <w:szCs w:val="21"/>
              </w:rPr>
              <w:t>分</w:t>
            </w:r>
            <w:r>
              <w:rPr>
                <w:rFonts w:eastAsia="宋体"/>
                <w:sz w:val="21"/>
                <w:szCs w:val="21"/>
              </w:rPr>
              <w:t>）、多选题（10</w:t>
            </w:r>
            <w:r>
              <w:rPr>
                <w:rFonts w:hint="eastAsia" w:eastAsia="宋体"/>
                <w:sz w:val="21"/>
                <w:szCs w:val="21"/>
              </w:rPr>
              <w:t>分</w:t>
            </w:r>
            <w:r>
              <w:rPr>
                <w:rFonts w:eastAsia="宋体"/>
                <w:sz w:val="21"/>
                <w:szCs w:val="21"/>
              </w:rPr>
              <w:t>）、</w:t>
            </w:r>
            <w:r>
              <w:rPr>
                <w:rFonts w:hint="eastAsia" w:eastAsia="宋体"/>
                <w:sz w:val="21"/>
                <w:szCs w:val="21"/>
              </w:rPr>
              <w:t>判断题（</w:t>
            </w:r>
            <w:r>
              <w:rPr>
                <w:rFonts w:eastAsia="宋体"/>
                <w:sz w:val="21"/>
                <w:szCs w:val="21"/>
              </w:rPr>
              <w:t>20</w:t>
            </w:r>
            <w:r>
              <w:rPr>
                <w:rFonts w:hint="eastAsia" w:eastAsia="宋体"/>
                <w:sz w:val="21"/>
                <w:szCs w:val="21"/>
              </w:rPr>
              <w:t>分）、</w:t>
            </w:r>
            <w:r>
              <w:rPr>
                <w:rFonts w:eastAsia="宋体"/>
                <w:sz w:val="21"/>
                <w:szCs w:val="21"/>
              </w:rPr>
              <w:t>填空题（30</w:t>
            </w:r>
            <w:r>
              <w:rPr>
                <w:rFonts w:hint="eastAsia" w:eastAsia="宋体"/>
                <w:sz w:val="21"/>
                <w:szCs w:val="21"/>
              </w:rPr>
              <w:t>分</w:t>
            </w:r>
            <w:r>
              <w:rPr>
                <w:rFonts w:eastAsia="宋体"/>
                <w:sz w:val="21"/>
                <w:szCs w:val="21"/>
              </w:rPr>
              <w:t>）、名词解释（15</w:t>
            </w:r>
            <w:r>
              <w:rPr>
                <w:rFonts w:hint="eastAsia" w:eastAsia="宋体"/>
                <w:sz w:val="21"/>
                <w:szCs w:val="21"/>
              </w:rPr>
              <w:t>分</w:t>
            </w:r>
            <w:r>
              <w:rPr>
                <w:rFonts w:eastAsia="宋体"/>
                <w:sz w:val="21"/>
                <w:szCs w:val="21"/>
              </w:rPr>
              <w:t>）、简答题（60</w:t>
            </w:r>
            <w:r>
              <w:rPr>
                <w:rFonts w:hint="eastAsia" w:eastAsia="宋体"/>
                <w:sz w:val="21"/>
                <w:szCs w:val="21"/>
              </w:rPr>
              <w:t>分</w:t>
            </w:r>
            <w:r>
              <w:rPr>
                <w:rFonts w:eastAsia="宋体"/>
                <w:sz w:val="21"/>
                <w:szCs w:val="21"/>
              </w:rPr>
              <w:t>）</w:t>
            </w:r>
            <w:r>
              <w:rPr>
                <w:rFonts w:hint="eastAsia" w:eastAsia="宋体"/>
                <w:sz w:val="21"/>
                <w:szCs w:val="21"/>
              </w:rPr>
              <w:t>、综合题（</w:t>
            </w:r>
            <w:r>
              <w:rPr>
                <w:rFonts w:eastAsia="宋体"/>
                <w:sz w:val="21"/>
                <w:szCs w:val="21"/>
              </w:rPr>
              <w:t>135</w:t>
            </w:r>
            <w:r>
              <w:rPr>
                <w:rFonts w:hint="eastAsia" w:eastAsia="宋体"/>
                <w:sz w:val="21"/>
                <w:szCs w:val="21"/>
              </w:rPr>
              <w:t>分）。</w:t>
            </w:r>
          </w:p>
          <w:p w14:paraId="54125DC6">
            <w:pPr>
              <w:rPr>
                <w:rFonts w:hint="eastAsia" w:ascii="宋体" w:hAnsi="宋体" w:eastAsia="宋体"/>
                <w:sz w:val="21"/>
              </w:rPr>
            </w:pPr>
          </w:p>
          <w:p w14:paraId="7943AA10">
            <w:pPr>
              <w:rPr>
                <w:rFonts w:hint="eastAsia" w:ascii="黑体" w:eastAsia="黑体"/>
                <w:sz w:val="21"/>
              </w:rPr>
            </w:pPr>
          </w:p>
        </w:tc>
      </w:tr>
      <w:tr w14:paraId="163E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noWrap w:val="0"/>
            <w:vAlign w:val="top"/>
          </w:tcPr>
          <w:p w14:paraId="0ECEB254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1CD07B09">
            <w:pPr>
              <w:adjustRightIn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1.《中药学》（第</w:t>
            </w:r>
            <w:r>
              <w:rPr>
                <w:rFonts w:hint="eastAsia" w:eastAsia="宋体"/>
                <w:sz w:val="21"/>
                <w:szCs w:val="21"/>
              </w:rPr>
              <w:t>九</w:t>
            </w:r>
            <w:r>
              <w:rPr>
                <w:rFonts w:eastAsia="宋体"/>
                <w:sz w:val="21"/>
                <w:szCs w:val="21"/>
              </w:rPr>
              <w:t>版）钟赣生</w:t>
            </w:r>
            <w:r>
              <w:rPr>
                <w:rFonts w:hint="eastAsia" w:eastAsia="宋体"/>
                <w:sz w:val="21"/>
                <w:szCs w:val="21"/>
              </w:rPr>
              <w:t>主编</w:t>
            </w:r>
            <w:r>
              <w:rPr>
                <w:rFonts w:eastAsia="宋体"/>
                <w:sz w:val="21"/>
                <w:szCs w:val="21"/>
              </w:rPr>
              <w:t>，中国中医药出版社，2012。</w:t>
            </w:r>
          </w:p>
          <w:p w14:paraId="536A8EF2">
            <w:pPr>
              <w:adjustRightIn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.</w:t>
            </w:r>
            <w:r>
              <w:rPr>
                <w:rFonts w:hint="eastAsia" w:eastAsia="宋体"/>
                <w:sz w:val="21"/>
                <w:szCs w:val="21"/>
              </w:rPr>
              <w:t>《中药化学》（新世纪第三版）匡海学主编，中国中医药出版社，2017。</w:t>
            </w:r>
          </w:p>
          <w:p w14:paraId="79104996">
            <w:pPr>
              <w:adjustRightInd w:val="0"/>
              <w:spacing w:line="360" w:lineRule="auto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.</w:t>
            </w:r>
            <w:r>
              <w:rPr>
                <w:rFonts w:hint="eastAsia" w:eastAsia="宋体"/>
                <w:sz w:val="21"/>
                <w:szCs w:val="21"/>
              </w:rPr>
              <w:t>《中药化学习题集》匡海学主编，中国中医药出版社 2004。</w:t>
            </w:r>
          </w:p>
          <w:p w14:paraId="18327459">
            <w:pPr>
              <w:rPr>
                <w:rFonts w:hint="eastAsia" w:ascii="黑体" w:eastAsia="黑体"/>
                <w:sz w:val="21"/>
              </w:rPr>
            </w:pPr>
          </w:p>
        </w:tc>
      </w:tr>
    </w:tbl>
    <w:p w14:paraId="528CCFDB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B318C">
    <w:pPr>
      <w:pStyle w:val="6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DgxN2Y2M2ZmMzZlOGZmYTJmZDU1YjA0MTkzYTQifQ=="/>
  </w:docVars>
  <w:rsids>
    <w:rsidRoot w:val="00172BB2"/>
    <w:rsid w:val="000240C3"/>
    <w:rsid w:val="000258B5"/>
    <w:rsid w:val="00025D9B"/>
    <w:rsid w:val="000632A2"/>
    <w:rsid w:val="00071F17"/>
    <w:rsid w:val="000B5C19"/>
    <w:rsid w:val="00172BB2"/>
    <w:rsid w:val="0018221B"/>
    <w:rsid w:val="001A3929"/>
    <w:rsid w:val="001D587B"/>
    <w:rsid w:val="001E06DD"/>
    <w:rsid w:val="001E3E34"/>
    <w:rsid w:val="00223EEE"/>
    <w:rsid w:val="002438C1"/>
    <w:rsid w:val="00255651"/>
    <w:rsid w:val="0026414E"/>
    <w:rsid w:val="00290F9D"/>
    <w:rsid w:val="0029675D"/>
    <w:rsid w:val="00296818"/>
    <w:rsid w:val="002A0F45"/>
    <w:rsid w:val="00302CF5"/>
    <w:rsid w:val="003334D3"/>
    <w:rsid w:val="00335B17"/>
    <w:rsid w:val="00335F5A"/>
    <w:rsid w:val="00364D5A"/>
    <w:rsid w:val="003A5C9E"/>
    <w:rsid w:val="003D32FC"/>
    <w:rsid w:val="003E5CBB"/>
    <w:rsid w:val="004028FE"/>
    <w:rsid w:val="00440065"/>
    <w:rsid w:val="004438BF"/>
    <w:rsid w:val="0049023E"/>
    <w:rsid w:val="004958A7"/>
    <w:rsid w:val="004E428A"/>
    <w:rsid w:val="004E4DBA"/>
    <w:rsid w:val="004F0203"/>
    <w:rsid w:val="004F56B0"/>
    <w:rsid w:val="004F6AB6"/>
    <w:rsid w:val="00517F7E"/>
    <w:rsid w:val="00523DEE"/>
    <w:rsid w:val="00531CF8"/>
    <w:rsid w:val="00541CA2"/>
    <w:rsid w:val="0054517B"/>
    <w:rsid w:val="0057654F"/>
    <w:rsid w:val="00580957"/>
    <w:rsid w:val="005B095A"/>
    <w:rsid w:val="005D7EFD"/>
    <w:rsid w:val="00624315"/>
    <w:rsid w:val="00700C8F"/>
    <w:rsid w:val="007307DA"/>
    <w:rsid w:val="00780CBE"/>
    <w:rsid w:val="007D5CDC"/>
    <w:rsid w:val="00807FD1"/>
    <w:rsid w:val="00853952"/>
    <w:rsid w:val="00853EE2"/>
    <w:rsid w:val="008C46E2"/>
    <w:rsid w:val="008D3E21"/>
    <w:rsid w:val="00924CAF"/>
    <w:rsid w:val="009357B6"/>
    <w:rsid w:val="009A7FD3"/>
    <w:rsid w:val="00A11D40"/>
    <w:rsid w:val="00A407B4"/>
    <w:rsid w:val="00A41BB9"/>
    <w:rsid w:val="00A439CE"/>
    <w:rsid w:val="00A44634"/>
    <w:rsid w:val="00A53270"/>
    <w:rsid w:val="00B15797"/>
    <w:rsid w:val="00B27BBC"/>
    <w:rsid w:val="00B40B7E"/>
    <w:rsid w:val="00B76D1B"/>
    <w:rsid w:val="00B91D3C"/>
    <w:rsid w:val="00BC5380"/>
    <w:rsid w:val="00BD352C"/>
    <w:rsid w:val="00BE67CE"/>
    <w:rsid w:val="00C445E7"/>
    <w:rsid w:val="00CC2891"/>
    <w:rsid w:val="00D24EF0"/>
    <w:rsid w:val="00D33520"/>
    <w:rsid w:val="00D376E6"/>
    <w:rsid w:val="00D436A5"/>
    <w:rsid w:val="00D80961"/>
    <w:rsid w:val="00DA1753"/>
    <w:rsid w:val="00DD70DA"/>
    <w:rsid w:val="00E218AD"/>
    <w:rsid w:val="00EF1BF3"/>
    <w:rsid w:val="00F1404D"/>
    <w:rsid w:val="00F734DB"/>
    <w:rsid w:val="00F8141C"/>
    <w:rsid w:val="00F90A3E"/>
    <w:rsid w:val="00F95B44"/>
    <w:rsid w:val="00FE492E"/>
    <w:rsid w:val="00FE5D47"/>
    <w:rsid w:val="27EE3E7E"/>
    <w:rsid w:val="2C146EF8"/>
    <w:rsid w:val="3D40180B"/>
    <w:rsid w:val="6AF15431"/>
    <w:rsid w:val="6C932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99"/>
    <w:rPr>
      <w:rFonts w:ascii="宋体" w:hAnsi="Courier New" w:eastAsia="宋体" w:cs="宋体"/>
      <w:kern w:val="0"/>
      <w:sz w:val="21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 Char1 Char"/>
    <w:basedOn w:val="1"/>
    <w:semiHidden/>
    <w:uiPriority w:val="0"/>
    <w:rPr>
      <w:rFonts w:eastAsia="宋体"/>
      <w:sz w:val="21"/>
    </w:rPr>
  </w:style>
  <w:style w:type="character" w:customStyle="1" w:styleId="10">
    <w:name w:val="纯文本 字符"/>
    <w:link w:val="3"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1">
    <w:name w:val="纯文本 字符1"/>
    <w:uiPriority w:val="0"/>
    <w:rPr>
      <w:rFonts w:ascii="宋体" w:hAnsi="Courier New" w:cs="Courier New"/>
      <w:kern w:val="2"/>
      <w:sz w:val="21"/>
      <w:szCs w:val="21"/>
    </w:rPr>
  </w:style>
  <w:style w:type="paragraph" w:styleId="12">
    <w:name w:val=""/>
    <w:hidden/>
    <w:unhideWhenUsed/>
    <w:uiPriority w:val="99"/>
    <w:rPr>
      <w:rFonts w:eastAsia="楷体_GB2312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471</Words>
  <Characters>2688</Characters>
  <Lines>22</Lines>
  <Paragraphs>6</Paragraphs>
  <TotalTime>0</TotalTime>
  <ScaleCrop>false</ScaleCrop>
  <LinksUpToDate>false</LinksUpToDate>
  <CharactersWithSpaces>3153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2022-09-13T06:45:00Z</dcterms:created>
  <dc:creator>lqy</dc:creator>
  <cp:lastModifiedBy>vertesyuan</cp:lastModifiedBy>
  <cp:lastPrinted>2008-10-23T02:22:00Z</cp:lastPrinted>
  <dcterms:modified xsi:type="dcterms:W3CDTF">2024-10-28T03:30:17Z</dcterms:modified>
  <dc:title>[单击此处请键入专业名称]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54ED1CF6E4B2480284CE9C717C13CAEE_13</vt:lpwstr>
  </property>
</Properties>
</file>