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年全国硕士研究生招生考试食品科学基础</w:t>
      </w:r>
    </w:p>
    <w:p>
      <w:pPr>
        <w:jc w:val="center"/>
      </w:pPr>
      <w:r>
        <w:rPr>
          <w:rFonts w:hint="eastAsia" w:ascii="黑体" w:hAnsi="黑体" w:eastAsia="黑体"/>
          <w:sz w:val="36"/>
          <w:szCs w:val="36"/>
        </w:rPr>
        <w:t>考试大纲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Ⅰ</w:t>
      </w:r>
      <w:r>
        <w:rPr>
          <w:rFonts w:ascii="黑体" w:hAnsi="黑体" w:eastAsia="黑体"/>
          <w:sz w:val="24"/>
          <w:szCs w:val="24"/>
        </w:rPr>
        <w:t>．考试性质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食品科学基础</w:t>
      </w:r>
      <w:r>
        <w:rPr>
          <w:rFonts w:asciiTheme="minorEastAsia" w:hAnsiTheme="minorEastAsia" w:eastAsiaTheme="minorEastAsia"/>
          <w:sz w:val="24"/>
          <w:szCs w:val="24"/>
        </w:rPr>
        <w:t>考试是</w:t>
      </w:r>
      <w:r>
        <w:rPr>
          <w:rFonts w:hint="eastAsia" w:asciiTheme="minorEastAsia" w:hAnsiTheme="minorEastAsia" w:eastAsiaTheme="minorEastAsia"/>
          <w:sz w:val="24"/>
          <w:szCs w:val="24"/>
        </w:rPr>
        <w:t>湖南农业大学食品科学与工程学科</w:t>
      </w:r>
      <w:r>
        <w:rPr>
          <w:rFonts w:asciiTheme="minorEastAsia" w:hAnsiTheme="minorEastAsia" w:eastAsiaTheme="minorEastAsia"/>
          <w:sz w:val="24"/>
          <w:szCs w:val="24"/>
        </w:rPr>
        <w:t>招收硕士研究生而设置的具有选拔性质的招生考试科目，其目的是</w:t>
      </w:r>
      <w:r>
        <w:rPr>
          <w:sz w:val="24"/>
          <w:szCs w:val="24"/>
        </w:rPr>
        <w:t>科学、公平、有效地测试考生掌握大学本科阶段</w:t>
      </w:r>
      <w:r>
        <w:rPr>
          <w:rFonts w:hint="eastAsia"/>
          <w:sz w:val="24"/>
          <w:szCs w:val="24"/>
        </w:rPr>
        <w:t>食品科学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基本概念、基础理论和基本方法</w:t>
      </w:r>
      <w:r>
        <w:rPr>
          <w:sz w:val="24"/>
          <w:szCs w:val="24"/>
        </w:rPr>
        <w:t>，以及运用</w:t>
      </w:r>
      <w:r>
        <w:rPr>
          <w:rFonts w:hint="eastAsia"/>
          <w:sz w:val="24"/>
          <w:szCs w:val="24"/>
        </w:rPr>
        <w:t>食品科学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基础理论知识</w:t>
      </w:r>
      <w:r>
        <w:rPr>
          <w:sz w:val="24"/>
          <w:szCs w:val="24"/>
        </w:rPr>
        <w:t>分析和解决问题的能力，评价的标准是高等学校本科毕业生能达到及格或及格以上水平，以保证被录取者掌握</w:t>
      </w:r>
      <w:r>
        <w:rPr>
          <w:rFonts w:hint="eastAsia"/>
          <w:sz w:val="24"/>
          <w:szCs w:val="24"/>
        </w:rPr>
        <w:t>食品科学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基本概念、基础理论和基本方法</w:t>
      </w:r>
      <w:r>
        <w:rPr>
          <w:sz w:val="24"/>
          <w:szCs w:val="24"/>
        </w:rPr>
        <w:t>，并有利于</w:t>
      </w:r>
      <w:r>
        <w:rPr>
          <w:rFonts w:hint="eastAsia"/>
          <w:sz w:val="24"/>
          <w:szCs w:val="24"/>
        </w:rPr>
        <w:t>湖南农业大学食品科学与工程学科</w:t>
      </w:r>
      <w:r>
        <w:rPr>
          <w:sz w:val="24"/>
          <w:szCs w:val="24"/>
        </w:rPr>
        <w:t>在专业上择优选拔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Ⅱ</w:t>
      </w:r>
      <w:r>
        <w:rPr>
          <w:rFonts w:ascii="黑体" w:hAnsi="黑体" w:eastAsia="黑体"/>
          <w:sz w:val="24"/>
          <w:szCs w:val="24"/>
        </w:rPr>
        <w:t>．考查目标</w:t>
      </w:r>
    </w:p>
    <w:p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　　</w:t>
      </w:r>
      <w:r>
        <w:rPr>
          <w:rFonts w:hint="eastAsia" w:asciiTheme="minorEastAsia" w:hAnsiTheme="minorEastAsia" w:eastAsiaTheme="minorEastAsia"/>
          <w:sz w:val="24"/>
          <w:szCs w:val="24"/>
        </w:rPr>
        <w:t>食品科学基础</w:t>
      </w:r>
      <w:r>
        <w:rPr>
          <w:sz w:val="24"/>
          <w:szCs w:val="24"/>
        </w:rPr>
        <w:t>考试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涵盖</w:t>
      </w:r>
      <w:r>
        <w:rPr>
          <w:rFonts w:hint="eastAsia"/>
          <w:sz w:val="24"/>
          <w:szCs w:val="24"/>
        </w:rPr>
        <w:t>食品脱水加工、食品热处理和杀菌、食品冷冻处理、食品的腌渍发酵和烟熏处理、食品化学保藏、食品的辐射保藏、常见食品的加工工艺等内容</w:t>
      </w:r>
      <w:r>
        <w:rPr>
          <w:sz w:val="24"/>
          <w:szCs w:val="24"/>
        </w:rPr>
        <w:t>，要求考生</w:t>
      </w:r>
      <w:r>
        <w:rPr>
          <w:rFonts w:hAnsi="宋体"/>
          <w:sz w:val="24"/>
          <w:szCs w:val="24"/>
        </w:rPr>
        <w:t>较系统地掌握</w:t>
      </w:r>
      <w:r>
        <w:rPr>
          <w:rFonts w:hint="eastAsia"/>
          <w:sz w:val="24"/>
          <w:szCs w:val="24"/>
        </w:rPr>
        <w:t>食品科学相关的基础理论知识，</w:t>
      </w:r>
      <w:r>
        <w:rPr>
          <w:sz w:val="24"/>
          <w:szCs w:val="24"/>
        </w:rPr>
        <w:t>准确、恰当地使用本学科的专业术语，</w:t>
      </w:r>
      <w:r>
        <w:rPr>
          <w:rFonts w:hint="eastAsia"/>
          <w:sz w:val="24"/>
          <w:szCs w:val="24"/>
        </w:rPr>
        <w:t>掌握各种食品加工的原理和方法，能熟练运用专业知识解决实际生产问题，了解食品科学的</w:t>
      </w:r>
      <w:r>
        <w:rPr>
          <w:rFonts w:hAnsi="宋体"/>
          <w:sz w:val="24"/>
          <w:szCs w:val="24"/>
        </w:rPr>
        <w:t>发展动态、研究方向及学术前沿</w:t>
      </w:r>
      <w:r>
        <w:rPr>
          <w:rFonts w:hint="eastAsia" w:hAnsi="宋体"/>
          <w:sz w:val="24"/>
          <w:szCs w:val="24"/>
        </w:rPr>
        <w:t>知识。</w:t>
      </w:r>
    </w:p>
    <w:p>
      <w:pPr>
        <w:spacing w:line="360" w:lineRule="auto"/>
        <w:rPr>
          <w:rFonts w:asciiTheme="minorHAnsi" w:hAnsiTheme="minorHAnsi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Ⅲ</w:t>
      </w:r>
      <w:r>
        <w:rPr>
          <w:rFonts w:ascii="黑体" w:hAnsi="黑体" w:eastAsia="黑体"/>
          <w:sz w:val="24"/>
          <w:szCs w:val="24"/>
        </w:rPr>
        <w:t>．考试形式和试卷结构</w:t>
      </w:r>
    </w:p>
    <w:p>
      <w:pPr>
        <w:spacing w:line="360" w:lineRule="auto"/>
        <w:rPr>
          <w:rFonts w:ascii="华文中宋" w:hAnsi="华文中宋" w:eastAsia="华文中宋"/>
          <w:b/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ascii="华文中宋" w:hAnsi="华文中宋" w:eastAsia="华文中宋"/>
          <w:b/>
          <w:sz w:val="24"/>
          <w:szCs w:val="24"/>
        </w:rPr>
        <w:t>一、试卷满分及考试时间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本试卷满分为150分，考试时间为180分钟。</w:t>
      </w:r>
    </w:p>
    <w:p>
      <w:pPr>
        <w:spacing w:line="360" w:lineRule="auto"/>
        <w:rPr>
          <w:rFonts w:ascii="华文中宋" w:hAnsi="华文中宋" w:eastAsia="华文中宋"/>
          <w:b/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ascii="华文中宋" w:hAnsi="华文中宋" w:eastAsia="华文中宋"/>
          <w:b/>
          <w:sz w:val="24"/>
          <w:szCs w:val="24"/>
        </w:rPr>
        <w:t>二、答题方式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答题方式为闭卷、笔试。</w:t>
      </w:r>
    </w:p>
    <w:p>
      <w:pPr>
        <w:spacing w:line="360" w:lineRule="auto"/>
        <w:rPr>
          <w:rFonts w:ascii="华文中宋" w:hAnsi="华文中宋" w:eastAsia="华文中宋"/>
          <w:b/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ascii="华文中宋" w:hAnsi="华文中宋" w:eastAsia="华文中宋"/>
          <w:b/>
          <w:sz w:val="24"/>
          <w:szCs w:val="24"/>
        </w:rPr>
        <w:t>三、试卷内容结构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1、食品科学有关的概念与研究内容，约10%；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2、食品干燥原理、方法及应用，约</w:t>
      </w:r>
      <w:r>
        <w:rPr>
          <w:rFonts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3、食品的热处理及杀菌，约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%；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4、食品冷冻原理、方法及应用，约</w:t>
      </w:r>
      <w:r>
        <w:rPr>
          <w:rFonts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%；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5、食品的腌制发酵和烟熏处理技术，约</w:t>
      </w:r>
      <w:r>
        <w:rPr>
          <w:rFonts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%；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6、食品的化学保藏，约10%；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7、食品的辐照保藏，约10%；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8、典型的食品加工工艺，约</w:t>
      </w:r>
      <w:r>
        <w:rPr>
          <w:rFonts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ascii="华文中宋" w:hAnsi="华文中宋" w:eastAsia="华文中宋"/>
          <w:b/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ascii="华文中宋" w:hAnsi="华文中宋" w:eastAsia="华文中宋"/>
          <w:b/>
          <w:sz w:val="24"/>
          <w:szCs w:val="24"/>
        </w:rPr>
        <w:t>四、试卷题型结构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1、名词解释：4小题，每小题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分，共计</w:t>
      </w:r>
      <w:r>
        <w:rPr>
          <w:rFonts w:asciiTheme="minorEastAsia" w:hAnsiTheme="minorEastAsia" w:eastAsiaTheme="minorEastAsia"/>
          <w:sz w:val="24"/>
          <w:szCs w:val="24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2、简答题：6小题，每小题</w:t>
      </w:r>
      <w:r>
        <w:rPr>
          <w:rFonts w:asciiTheme="minorEastAsia" w:hAnsiTheme="minorEastAsia" w:eastAsia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分，共计</w:t>
      </w:r>
      <w:r>
        <w:rPr>
          <w:rFonts w:asciiTheme="minorEastAsia" w:hAnsiTheme="minorEastAsia" w:eastAsiaTheme="minorEastAsia"/>
          <w:sz w:val="24"/>
          <w:szCs w:val="24"/>
        </w:rPr>
        <w:t>48</w:t>
      </w:r>
      <w:r>
        <w:rPr>
          <w:rFonts w:hint="eastAsia" w:asciiTheme="minorEastAsia" w:hAnsiTheme="minorEastAsia" w:eastAsiaTheme="minorEastAsia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3、论述题：</w:t>
      </w: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小题，每小题1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分，共计</w:t>
      </w:r>
      <w:r>
        <w:rPr>
          <w:rFonts w:asciiTheme="minorEastAsia" w:hAnsiTheme="minorEastAsia" w:eastAsiaTheme="minorEastAsia"/>
          <w:sz w:val="24"/>
          <w:szCs w:val="24"/>
        </w:rPr>
        <w:t>90</w:t>
      </w:r>
      <w:r>
        <w:rPr>
          <w:rFonts w:hint="eastAsia" w:asciiTheme="minorEastAsia" w:hAnsiTheme="minorEastAsia" w:eastAsiaTheme="minorEastAsia"/>
          <w:sz w:val="24"/>
          <w:szCs w:val="24"/>
        </w:rPr>
        <w:t>分。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fldChar w:fldCharType="begin"/>
      </w:r>
      <w:r>
        <w:rPr>
          <w:rFonts w:ascii="黑体" w:hAnsi="黑体" w:eastAsia="黑体"/>
          <w:sz w:val="24"/>
          <w:szCs w:val="24"/>
        </w:rPr>
        <w:instrText xml:space="preserve"> </w:instrText>
      </w:r>
      <w:r>
        <w:rPr>
          <w:rFonts w:hint="eastAsia" w:ascii="黑体" w:hAnsi="黑体" w:eastAsia="黑体"/>
          <w:sz w:val="24"/>
          <w:szCs w:val="24"/>
        </w:rPr>
        <w:instrText xml:space="preserve">= 4 \* ROMAN</w:instrText>
      </w:r>
      <w:r>
        <w:rPr>
          <w:rFonts w:ascii="黑体" w:hAnsi="黑体" w:eastAsia="黑体"/>
          <w:sz w:val="24"/>
          <w:szCs w:val="24"/>
        </w:rPr>
        <w:instrText xml:space="preserve"> </w:instrText>
      </w:r>
      <w:r>
        <w:rPr>
          <w:rFonts w:ascii="黑体" w:hAnsi="黑体" w:eastAsia="黑体"/>
          <w:sz w:val="24"/>
          <w:szCs w:val="24"/>
        </w:rPr>
        <w:fldChar w:fldCharType="separate"/>
      </w:r>
      <w:r>
        <w:rPr>
          <w:rFonts w:ascii="黑体" w:hAnsi="黑体" w:eastAsia="黑体"/>
          <w:sz w:val="24"/>
          <w:szCs w:val="24"/>
        </w:rPr>
        <w:t>IV</w:t>
      </w:r>
      <w:r>
        <w:rPr>
          <w:rFonts w:ascii="黑体" w:hAnsi="黑体" w:eastAsia="黑体"/>
          <w:sz w:val="24"/>
          <w:szCs w:val="24"/>
        </w:rPr>
        <w:fldChar w:fldCharType="end"/>
      </w:r>
      <w:r>
        <w:rPr>
          <w:rFonts w:ascii="黑体" w:hAnsi="黑体" w:eastAsia="黑体"/>
          <w:sz w:val="24"/>
          <w:szCs w:val="24"/>
        </w:rPr>
        <w:t>考查内容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一、绪论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1、食品加工的相关概念和目的；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2、食品工业及其发展趋势；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3、食品工艺学研究的内容和范围。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二、食品的脱水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食品干藏原理；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2、食品的干燥机制；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3、干制对食品品质的影响；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4、食品的干制方法；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5、干制品的包装与贮藏。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三、食品的热处理和杀菌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1、热处理原理；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2、热处理技术。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四、食品冷冻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1、食品冷冻保藏原理；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2、食品的冷却与冷藏；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3、低温气调储藏；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4、食品的冷冻与冻藏；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5、冻制品的包装和贮藏。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五、食品的腌渍发酵和烟熏处理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1、食品的腌渍保藏；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2、食品的发酵保藏；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3、食品的烟熏处理；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4、半干半湿食品。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六、食品的化学保藏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1、食品化学保藏的定义和特点；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2、食品防腐剂及其使用；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3、抗氧化剂。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七、食品的辐射保藏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1、食品辐照保藏的定义及特点；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2、辐照的基本概念；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3、食品辐照保藏原理；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4、辐照对食品质量的影响；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5、辐照在食品保藏中的应用；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6、食品辐照的安全与法规。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八、食品加工工艺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1、肉类制品：肉的成分及理化性质，肉的成熟，冷鲜肉加工，典型肉类制品加工工艺；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2、水产制品：典型水产制品加工工艺；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3、乳制品：乳的成分与性质，典型乳制品加工工艺；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4、果蔬制品：果蔬原料的成分与特性；果蔬采后变化；果蔬的预处理及典型制品加工工艺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5、谷物制品：典型谷物制品加工工艺。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YjJmOTUzNmU2ZThlNzE4YTA4MjQxYTQzYzE2ODMifQ=="/>
    <w:docVar w:name="KSO_WPS_MARK_KEY" w:val="1f0d93c6-b683-4ba3-bf66-c107d6962bb6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2B5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57B7"/>
    <w:rsid w:val="001A673C"/>
    <w:rsid w:val="001A7371"/>
    <w:rsid w:val="001A7BAB"/>
    <w:rsid w:val="001B3E6A"/>
    <w:rsid w:val="001B585D"/>
    <w:rsid w:val="001D3B16"/>
    <w:rsid w:val="001D5FFA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4C7D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17ED2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A2803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537C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75759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45C65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838D9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D5A3A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6741A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05C4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A3422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1DF1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123D5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85134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54574"/>
    <w:rsid w:val="00C606DC"/>
    <w:rsid w:val="00C731FB"/>
    <w:rsid w:val="00C73D3D"/>
    <w:rsid w:val="00C741AD"/>
    <w:rsid w:val="00C74BE9"/>
    <w:rsid w:val="00C85A5C"/>
    <w:rsid w:val="00C916F3"/>
    <w:rsid w:val="00C9349A"/>
    <w:rsid w:val="00C94F58"/>
    <w:rsid w:val="00C95065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4692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C1B96"/>
    <w:rsid w:val="00DC23BD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91C8E"/>
    <w:rsid w:val="00EA4D09"/>
    <w:rsid w:val="00EB022D"/>
    <w:rsid w:val="00EC3C1E"/>
    <w:rsid w:val="00EC4D3C"/>
    <w:rsid w:val="00ED0AB8"/>
    <w:rsid w:val="00EE25B4"/>
    <w:rsid w:val="00F01F9A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41F45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263B"/>
    <w:rsid w:val="00FA7B6C"/>
    <w:rsid w:val="00FB0C6C"/>
    <w:rsid w:val="00FB5D30"/>
    <w:rsid w:val="00FD7559"/>
    <w:rsid w:val="00FE35BD"/>
    <w:rsid w:val="00FE4ACF"/>
    <w:rsid w:val="00FF66DE"/>
    <w:rsid w:val="044B13E6"/>
    <w:rsid w:val="44442736"/>
    <w:rsid w:val="64AC3389"/>
    <w:rsid w:val="65D47B8B"/>
    <w:rsid w:val="68E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正文文本缩进 字符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湘潭大学研招办</Company>
  <Pages>3</Pages>
  <Words>1213</Words>
  <Characters>1241</Characters>
  <Lines>9</Lines>
  <Paragraphs>2</Paragraphs>
  <TotalTime>75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2024-09-26T10:07:00Z</dcterms:created>
  <dc:creator>李丽兰</dc:creator>
  <cp:lastModifiedBy>杨辉</cp:lastModifiedBy>
  <cp:lastPrinted>2024-09-27T03:27:59Z</cp:lastPrinted>
  <dcterms:modified xsi:type="dcterms:W3CDTF">2024-09-27T03:29:21Z</dcterms:modified>
  <dc:title>关于编制2002年硕士研究生招生专业目录的通知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8EB2370416C8424097C52DA60BB54026_12</vt:lpwstr>
  </property>
</Properties>
</file>