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C4C8A">
      <w:pPr>
        <w:widowControl/>
        <w:spacing w:line="360" w:lineRule="auto"/>
        <w:jc w:val="center"/>
        <w:rPr>
          <w:rFonts w:ascii="楷体_GB2312" w:hAnsi="Calibri" w:eastAsia="楷体_GB2312" w:cs="宋体"/>
          <w:b/>
          <w:color w:val="000000"/>
          <w:kern w:val="0"/>
          <w:sz w:val="32"/>
        </w:rPr>
      </w:pPr>
      <w:bookmarkStart w:id="0" w:name="_GoBack"/>
      <w:bookmarkEnd w:id="0"/>
      <w:r>
        <w:rPr>
          <w:rFonts w:hint="eastAsia" w:ascii="楷体_GB2312" w:hAnsi="Calibri" w:eastAsia="楷体_GB2312" w:cs="宋体"/>
          <w:b/>
          <w:color w:val="000000"/>
          <w:kern w:val="0"/>
          <w:sz w:val="32"/>
        </w:rPr>
        <w:t>武汉工程大学2025年硕士研究生招生考试</w:t>
      </w:r>
    </w:p>
    <w:p w14:paraId="59198BA4">
      <w:pPr>
        <w:widowControl/>
        <w:spacing w:line="360" w:lineRule="auto"/>
        <w:jc w:val="center"/>
        <w:rPr>
          <w:rFonts w:hint="eastAsia" w:ascii="楷体_GB2312" w:hAnsi="Calibri" w:eastAsia="楷体_GB2312" w:cs="宋体"/>
          <w:b/>
          <w:color w:val="000000"/>
          <w:kern w:val="0"/>
          <w:sz w:val="32"/>
        </w:rPr>
      </w:pPr>
      <w:r>
        <w:rPr>
          <w:rFonts w:hint="eastAsia" w:ascii="楷体_GB2312" w:hAnsi="Calibri" w:eastAsia="楷体_GB2312" w:cs="宋体"/>
          <w:b/>
          <w:color w:val="000000"/>
          <w:kern w:val="0"/>
          <w:sz w:val="32"/>
        </w:rPr>
        <w:t>《综合日语》考试大纲</w:t>
      </w:r>
    </w:p>
    <w:p w14:paraId="53749CB8">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一、考试目的</w:t>
      </w:r>
    </w:p>
    <w:p w14:paraId="191D14F6">
      <w:pPr>
        <w:widowControl/>
        <w:spacing w:line="372" w:lineRule="auto"/>
        <w:ind w:firstLine="480" w:firstLineChars="200"/>
        <w:rPr>
          <w:rFonts w:ascii="楷体_GB2312" w:hAnsi="Calibri" w:eastAsia="楷体_GB2312" w:cs="宋体"/>
          <w:color w:val="000000"/>
          <w:kern w:val="0"/>
          <w:sz w:val="24"/>
        </w:rPr>
      </w:pPr>
      <w:r>
        <w:rPr>
          <w:rFonts w:hint="eastAsia" w:ascii="楷体_GB2312" w:hAnsi="Calibri" w:eastAsia="楷体_GB2312" w:cs="宋体"/>
          <w:color w:val="000000"/>
          <w:kern w:val="0"/>
          <w:sz w:val="24"/>
        </w:rPr>
        <w:t>《综合日语》是我校日语语言文学硕士研究生入学考试的专业基础课之一。本科目旨在考查考生的是否掌握日语语法，是否具备一定的词汇及日语阅读能力，是否具有一定的日语文学及文化相关的知识，具有一定的日语写作能力和日汉互译的基本技能，能否具有运用日语语言文化相关的知识从事日语科研及研究论文撰写的水平。</w:t>
      </w:r>
    </w:p>
    <w:p w14:paraId="1D65CD47">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二、考试性质与范围</w:t>
      </w:r>
    </w:p>
    <w:p w14:paraId="3B7A6A49">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本考试是一种测试应试者单项和综合语言能力的尺度参照性水平考试。考试范围包括日本语言文学专业考生应具备的日语词汇量、语法知识、语言文化知识以及日语阅读与写作等方面的技能。</w:t>
      </w:r>
    </w:p>
    <w:p w14:paraId="59ADFAD0">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三、考试基本要求</w:t>
      </w:r>
    </w:p>
    <w:p w14:paraId="20C7F717">
      <w:pPr>
        <w:widowControl/>
        <w:spacing w:line="372" w:lineRule="auto"/>
        <w:ind w:left="470" w:hanging="470" w:hangingChars="196"/>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 xml:space="preserve">    1.</w:t>
      </w:r>
      <w:r>
        <w:rPr>
          <w:rFonts w:hint="eastAsia" w:ascii="楷体_GB2312" w:hAnsi="Calibri" w:eastAsia="楷体_GB2312" w:cs="宋体"/>
          <w:color w:val="000000"/>
          <w:kern w:val="0"/>
          <w:sz w:val="24"/>
        </w:rPr>
        <w:t>具有良好的日语基本功，具有N2及以上的词汇量、日语语法能力、日语词汇水平、日语阅读能力，能正确而熟练地运用常用词汇及其常用搭配。</w:t>
      </w:r>
    </w:p>
    <w:p w14:paraId="69C8D2B6">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能熟练掌握正确的日语语法、结构、修辞等语言规范知识，具备一定程度的日汉互译水平。</w:t>
      </w:r>
    </w:p>
    <w:p w14:paraId="53FB733F">
      <w:pPr>
        <w:widowControl/>
        <w:spacing w:line="372" w:lineRule="auto"/>
        <w:ind w:firstLine="480" w:firstLineChars="20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3.</w:t>
      </w:r>
      <w:r>
        <w:rPr>
          <w:rFonts w:hint="eastAsia" w:ascii="楷体_GB2312" w:hAnsi="Calibri" w:eastAsia="楷体_GB2312" w:cs="宋体"/>
          <w:color w:val="000000"/>
          <w:kern w:val="0"/>
          <w:sz w:val="24"/>
        </w:rPr>
        <w:t>具有一定的日本文学及文化基础知识水平，能正确处理日汉两种文化及语言差异，具有较强的阅读理解能力和日汉互译能力。</w:t>
      </w:r>
    </w:p>
    <w:p w14:paraId="059682E3">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四、考试形式</w:t>
      </w:r>
    </w:p>
    <w:p w14:paraId="1BF4ABEC">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本考试采取客观试题与主观试题相结合，单项技能测试与综合技能测试相结合的方法。各项试题的分布情况见“《综合日语》考试内容一览表”。</w:t>
      </w:r>
    </w:p>
    <w:p w14:paraId="1BD1F967">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五、考试内容</w:t>
      </w:r>
    </w:p>
    <w:p w14:paraId="11403C63">
      <w:pPr>
        <w:spacing w:line="360" w:lineRule="auto"/>
        <w:ind w:firstLine="480" w:firstLineChars="200"/>
        <w:rPr>
          <w:rFonts w:ascii="楷体_GB2312" w:hAnsi="Calibri" w:eastAsia="楷体_GB2312" w:cs="宋体"/>
          <w:color w:val="000000"/>
          <w:kern w:val="0"/>
          <w:sz w:val="24"/>
        </w:rPr>
      </w:pPr>
      <w:r>
        <w:rPr>
          <w:rFonts w:hint="eastAsia" w:ascii="楷体_GB2312" w:hAnsi="Calibri" w:eastAsia="楷体_GB2312" w:cs="宋体"/>
          <w:color w:val="000000"/>
          <w:kern w:val="0"/>
          <w:sz w:val="24"/>
        </w:rPr>
        <w:t>本考试包括以下部分：词汇语法、阅读理解，日汉互译等。总分为</w:t>
      </w:r>
      <w:r>
        <w:rPr>
          <w:rFonts w:hint="eastAsia" w:ascii="楷体_GB2312" w:hAnsi="宋体" w:eastAsia="楷体_GB2312" w:cs="宋体"/>
          <w:color w:val="000000"/>
          <w:kern w:val="0"/>
          <w:sz w:val="24"/>
        </w:rPr>
        <w:t>150</w:t>
      </w:r>
      <w:r>
        <w:rPr>
          <w:rFonts w:hint="eastAsia" w:ascii="楷体_GB2312" w:hAnsi="Calibri" w:eastAsia="楷体_GB2312" w:cs="宋体"/>
          <w:color w:val="000000"/>
          <w:kern w:val="0"/>
          <w:sz w:val="24"/>
        </w:rPr>
        <w:t>分。</w:t>
      </w:r>
    </w:p>
    <w:p w14:paraId="165379DE">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1.词汇语法</w:t>
      </w:r>
    </w:p>
    <w:p w14:paraId="7032BD9D">
      <w:pPr>
        <w:widowControl/>
        <w:spacing w:line="372"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）掌握N2及以上的词汇量、日语语法能力、日语词汇水平，能正确而熟练地运用常用词汇及其常用搭配。</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）语法要求：考生能正确运用日语语法、结构、修辞等语言规范知识。</w:t>
      </w:r>
    </w:p>
    <w:p w14:paraId="6BE414C4">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题型：日汉词汇互注及单项选择题。</w:t>
      </w:r>
    </w:p>
    <w:p w14:paraId="33BF7AF1">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2.阅读理解</w:t>
      </w:r>
    </w:p>
    <w:p w14:paraId="113DA828">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）能读懂常见外刊上的专题文章、历史传记及文学作品等各种文体的文章，既能理解其主旨和大意，又能分辨出其中的事实与细节，并能理解其中的观点和隐含意义。</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）能根据阅读时间要求调整自己的阅读速度。</w:t>
      </w:r>
    </w:p>
    <w:p w14:paraId="3D915F36">
      <w:pPr>
        <w:widowControl/>
        <w:spacing w:line="360" w:lineRule="auto"/>
        <w:ind w:left="599" w:leftChars="228" w:hanging="120" w:hangingChars="5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w:t>
      </w:r>
      <w:r>
        <w:rPr>
          <w:rFonts w:hint="eastAsia" w:ascii="楷体_GB2312" w:hAnsi="宋体" w:eastAsia="楷体_GB2312" w:cs="宋体"/>
          <w:color w:val="000000"/>
          <w:kern w:val="0"/>
          <w:sz w:val="24"/>
        </w:rPr>
        <w:t xml:space="preserve">1) </w:t>
      </w:r>
      <w:r>
        <w:rPr>
          <w:rFonts w:hint="eastAsia" w:ascii="楷体_GB2312" w:hAnsi="Calibri" w:eastAsia="楷体_GB2312" w:cs="宋体"/>
          <w:color w:val="000000"/>
          <w:kern w:val="0"/>
          <w:sz w:val="24"/>
        </w:rPr>
        <w:t>单项选择题（包括信息事实性阅读题和观点评判性阅读题）。</w:t>
      </w:r>
      <w:r>
        <w:rPr>
          <w:rFonts w:hint="eastAsia" w:ascii="楷体_GB2312" w:hAnsi="宋体" w:eastAsia="楷体_GB2312" w:cs="宋体"/>
          <w:color w:val="000000"/>
          <w:kern w:val="0"/>
          <w:sz w:val="24"/>
        </w:rPr>
        <w:t xml:space="preserve">2) </w:t>
      </w:r>
      <w:r>
        <w:rPr>
          <w:rFonts w:hint="eastAsia" w:ascii="楷体_GB2312" w:hAnsi="Calibri" w:eastAsia="楷体_GB2312" w:cs="宋体"/>
          <w:color w:val="000000"/>
          <w:kern w:val="0"/>
          <w:sz w:val="24"/>
        </w:rPr>
        <w:t>简答题（要求根据所阅读的文章，用</w:t>
      </w:r>
      <w:r>
        <w:rPr>
          <w:rFonts w:hint="eastAsia" w:ascii="楷体_GB2312" w:hAnsi="宋体" w:eastAsia="楷体_GB2312" w:cs="宋体"/>
          <w:color w:val="000000"/>
          <w:kern w:val="0"/>
          <w:sz w:val="24"/>
        </w:rPr>
        <w:t>3-5</w:t>
      </w:r>
      <w:r>
        <w:rPr>
          <w:rFonts w:hint="eastAsia" w:ascii="楷体_GB2312" w:hAnsi="Calibri" w:eastAsia="楷体_GB2312" w:cs="宋体"/>
          <w:color w:val="000000"/>
          <w:kern w:val="0"/>
          <w:sz w:val="24"/>
        </w:rPr>
        <w:t>行字数的有限篇幅扼要回答问题，重点考查阅读综述能力）。</w:t>
      </w:r>
    </w:p>
    <w:p w14:paraId="62FD4127">
      <w:pPr>
        <w:widowControl/>
        <w:spacing w:line="360" w:lineRule="auto"/>
        <w:ind w:left="598" w:leftChars="285"/>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本部分题材广泛，体裁多样，选材体现时代性、实用性；重点考查通过阅读获取信息和理解观点的能力；对阅读速度有一定要求。</w:t>
      </w:r>
    </w:p>
    <w:p w14:paraId="767BADB1">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3.日汉互译</w:t>
      </w:r>
    </w:p>
    <w:p w14:paraId="68428C4B">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要求：考生能根据运用日汉语言能力及文化知识将一篇200字左右的文章翻译成日语；将一篇400词左右的日文翻译成中文。文章可以为记叙文、说明文或议论文。翻译要求符合原意，用词得体，语言通顺。</w:t>
      </w:r>
    </w:p>
    <w:p w14:paraId="280C7CD0">
      <w:pPr>
        <w:widowControl/>
        <w:spacing w:line="360" w:lineRule="auto"/>
        <w:ind w:firstLine="480" w:firstLineChars="20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题型：短文翻译。</w:t>
      </w:r>
    </w:p>
    <w:p w14:paraId="0916AB33">
      <w:pPr>
        <w:widowControl/>
        <w:spacing w:line="372" w:lineRule="auto"/>
        <w:jc w:val="center"/>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《综合日语》考试内容一览表</w:t>
      </w:r>
    </w:p>
    <w:tbl>
      <w:tblPr>
        <w:tblStyle w:val="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62"/>
        <w:gridCol w:w="3778"/>
        <w:gridCol w:w="1081"/>
        <w:gridCol w:w="1752"/>
      </w:tblGrid>
      <w:tr w14:paraId="20AB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14:paraId="01C1723A">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序号</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5AB3D82A">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考试内容</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4CFD2730">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题  型</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AB6943F">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分值</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2DEE4D14">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时间（分钟）</w:t>
            </w:r>
          </w:p>
        </w:tc>
      </w:tr>
      <w:tr w14:paraId="7CF7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14:paraId="64CDE803">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286AA4C4">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词汇</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16901B4C">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汉字及日语假名互注</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5B2B92E">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kern w:val="0"/>
                <w:sz w:val="24"/>
              </w:rPr>
              <w:t>30</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054D7E0A">
            <w:pPr>
              <w:widowControl/>
              <w:spacing w:line="360" w:lineRule="auto"/>
              <w:jc w:val="center"/>
              <w:rPr>
                <w:rFonts w:ascii="楷体_GB2312" w:hAnsi="宋体" w:eastAsia="楷体_GB2312" w:cs="宋体"/>
                <w:kern w:val="0"/>
                <w:sz w:val="24"/>
              </w:rPr>
            </w:pPr>
            <w:r>
              <w:rPr>
                <w:rFonts w:hint="eastAsia" w:ascii="楷体_GB2312" w:hAnsi="宋体" w:eastAsia="楷体_GB2312" w:cs="宋体"/>
                <w:kern w:val="0"/>
                <w:sz w:val="24"/>
              </w:rPr>
              <w:t>20</w:t>
            </w:r>
          </w:p>
        </w:tc>
      </w:tr>
      <w:tr w14:paraId="05C0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9" w:hRule="atLeast"/>
          <w:jc w:val="center"/>
        </w:trPr>
        <w:tc>
          <w:tcPr>
            <w:tcW w:w="501" w:type="pct"/>
            <w:tcBorders>
              <w:top w:val="single" w:color="auto" w:sz="4" w:space="0"/>
              <w:left w:val="single" w:color="auto" w:sz="4" w:space="0"/>
              <w:right w:val="single" w:color="auto" w:sz="4" w:space="0"/>
            </w:tcBorders>
            <w:noWrap w:val="0"/>
            <w:vAlign w:val="center"/>
          </w:tcPr>
          <w:p w14:paraId="2A1A9000">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2</w:t>
            </w:r>
          </w:p>
        </w:tc>
        <w:tc>
          <w:tcPr>
            <w:tcW w:w="721" w:type="pct"/>
            <w:tcBorders>
              <w:top w:val="single" w:color="auto" w:sz="4" w:space="0"/>
              <w:left w:val="single" w:color="auto" w:sz="4" w:space="0"/>
              <w:right w:val="single" w:color="auto" w:sz="4" w:space="0"/>
            </w:tcBorders>
            <w:noWrap w:val="0"/>
            <w:vAlign w:val="center"/>
          </w:tcPr>
          <w:p w14:paraId="4FCD7023">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语法、文学、文化</w:t>
            </w:r>
          </w:p>
        </w:tc>
        <w:tc>
          <w:tcPr>
            <w:tcW w:w="2159" w:type="pct"/>
            <w:tcBorders>
              <w:top w:val="single" w:color="auto" w:sz="4" w:space="0"/>
              <w:left w:val="single" w:color="auto" w:sz="4" w:space="0"/>
              <w:right w:val="single" w:color="auto" w:sz="4" w:space="0"/>
            </w:tcBorders>
            <w:noWrap w:val="0"/>
            <w:vAlign w:val="center"/>
          </w:tcPr>
          <w:p w14:paraId="14A346FC">
            <w:pPr>
              <w:widowControl/>
              <w:spacing w:line="360" w:lineRule="auto"/>
              <w:rPr>
                <w:rFonts w:hint="eastAsia" w:ascii="楷体_GB2312" w:hAnsi="宋体" w:eastAsia="楷体_GB2312" w:cs="宋体"/>
                <w:kern w:val="0"/>
                <w:sz w:val="24"/>
              </w:rPr>
            </w:pPr>
            <w:r>
              <w:rPr>
                <w:rFonts w:hint="eastAsia" w:ascii="楷体_GB2312" w:hAnsi="宋体" w:eastAsia="楷体_GB2312" w:cs="宋体"/>
                <w:color w:val="000000"/>
                <w:kern w:val="0"/>
                <w:sz w:val="24"/>
              </w:rPr>
              <w:t>单项选择题</w:t>
            </w:r>
          </w:p>
        </w:tc>
        <w:tc>
          <w:tcPr>
            <w:tcW w:w="618" w:type="pct"/>
            <w:tcBorders>
              <w:top w:val="single" w:color="auto" w:sz="4" w:space="0"/>
              <w:left w:val="single" w:color="auto" w:sz="4" w:space="0"/>
              <w:right w:val="single" w:color="auto" w:sz="4" w:space="0"/>
            </w:tcBorders>
            <w:noWrap w:val="0"/>
            <w:vAlign w:val="center"/>
          </w:tcPr>
          <w:p w14:paraId="1FD0C729">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45</w:t>
            </w:r>
          </w:p>
        </w:tc>
        <w:tc>
          <w:tcPr>
            <w:tcW w:w="1001" w:type="pct"/>
            <w:tcBorders>
              <w:top w:val="single" w:color="auto" w:sz="4" w:space="0"/>
              <w:left w:val="single" w:color="auto" w:sz="4" w:space="0"/>
              <w:right w:val="single" w:color="auto" w:sz="4" w:space="0"/>
            </w:tcBorders>
            <w:noWrap w:val="0"/>
            <w:vAlign w:val="center"/>
          </w:tcPr>
          <w:p w14:paraId="4A84AE2D">
            <w:pPr>
              <w:widowControl/>
              <w:spacing w:line="360" w:lineRule="auto"/>
              <w:jc w:val="center"/>
              <w:rPr>
                <w:rFonts w:ascii="楷体_GB2312" w:hAnsi="宋体" w:eastAsia="楷体_GB2312" w:cs="宋体"/>
                <w:kern w:val="0"/>
                <w:sz w:val="24"/>
              </w:rPr>
            </w:pPr>
            <w:r>
              <w:rPr>
                <w:rFonts w:hint="eastAsia" w:ascii="楷体_GB2312" w:hAnsi="宋体" w:eastAsia="楷体_GB2312" w:cs="宋体"/>
                <w:kern w:val="0"/>
                <w:sz w:val="24"/>
              </w:rPr>
              <w:t>40</w:t>
            </w:r>
          </w:p>
        </w:tc>
      </w:tr>
      <w:tr w14:paraId="728E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14:paraId="3A765E6A">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3</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30ACFEF6">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阅读理解</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4D2EE7E4">
            <w:pPr>
              <w:widowControl/>
              <w:tabs>
                <w:tab w:val="left" w:pos="734"/>
              </w:tabs>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1）单项选择题；2）简答题</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0375072">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kern w:val="0"/>
                <w:sz w:val="24"/>
              </w:rPr>
              <w:t>45</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21FBD03B">
            <w:pPr>
              <w:widowControl/>
              <w:spacing w:line="360" w:lineRule="auto"/>
              <w:jc w:val="center"/>
              <w:rPr>
                <w:rFonts w:ascii="楷体_GB2312" w:hAnsi="宋体" w:eastAsia="楷体_GB2312" w:cs="宋体"/>
                <w:kern w:val="0"/>
                <w:sz w:val="24"/>
              </w:rPr>
            </w:pPr>
            <w:r>
              <w:rPr>
                <w:rFonts w:hint="eastAsia" w:ascii="楷体_GB2312" w:hAnsi="宋体" w:eastAsia="楷体_GB2312" w:cs="宋体"/>
                <w:kern w:val="0"/>
                <w:sz w:val="24"/>
              </w:rPr>
              <w:t>70</w:t>
            </w:r>
          </w:p>
        </w:tc>
      </w:tr>
      <w:tr w14:paraId="368E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14:paraId="1A8030D4">
            <w:pPr>
              <w:widowControl/>
              <w:spacing w:line="360" w:lineRule="auto"/>
              <w:jc w:val="center"/>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4</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7EAE03C0">
            <w:pPr>
              <w:widowControl/>
              <w:spacing w:line="360" w:lineRule="auto"/>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日汉互译</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2B0150F3">
            <w:pPr>
              <w:widowControl/>
              <w:tabs>
                <w:tab w:val="left" w:pos="734"/>
              </w:tabs>
              <w:spacing w:line="360" w:lineRule="auto"/>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1）日译汉；2）汉译日</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3797CE8">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30</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8A43320">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50</w:t>
            </w:r>
          </w:p>
        </w:tc>
      </w:tr>
      <w:tr w14:paraId="0DE6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1" w:type="pct"/>
            <w:tcBorders>
              <w:top w:val="single" w:color="auto" w:sz="4" w:space="0"/>
              <w:left w:val="single" w:color="auto" w:sz="4" w:space="0"/>
              <w:bottom w:val="single" w:color="auto" w:sz="4" w:space="0"/>
              <w:right w:val="single" w:color="auto" w:sz="4" w:space="0"/>
            </w:tcBorders>
            <w:noWrap w:val="0"/>
            <w:vAlign w:val="center"/>
          </w:tcPr>
          <w:p w14:paraId="17A61347">
            <w:pPr>
              <w:widowControl/>
              <w:spacing w:line="360" w:lineRule="auto"/>
              <w:jc w:val="center"/>
              <w:rPr>
                <w:rFonts w:hint="eastAsia" w:ascii="楷体_GB2312" w:hAnsi="宋体" w:eastAsia="楷体_GB2312" w:cs="宋体"/>
                <w:kern w:val="0"/>
                <w:sz w:val="24"/>
              </w:rPr>
            </w:pPr>
            <w:r>
              <w:rPr>
                <w:rFonts w:hint="eastAsia" w:ascii="楷体_GB2312" w:hAnsi="Calibri" w:eastAsia="楷体_GB2312" w:cs="宋体"/>
                <w:color w:val="000000"/>
                <w:kern w:val="0"/>
                <w:sz w:val="24"/>
              </w:rPr>
              <w:t>合计</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5C860888">
            <w:pPr>
              <w:widowControl/>
              <w:spacing w:line="360" w:lineRule="auto"/>
              <w:rPr>
                <w:rFonts w:hint="eastAsia" w:ascii="楷体_GB2312" w:hAnsi="宋体" w:eastAsia="楷体_GB2312" w:cs="宋体"/>
                <w:kern w:val="0"/>
                <w:sz w:val="24"/>
              </w:rPr>
            </w:pPr>
          </w:p>
        </w:tc>
        <w:tc>
          <w:tcPr>
            <w:tcW w:w="2159" w:type="pct"/>
            <w:tcBorders>
              <w:top w:val="single" w:color="auto" w:sz="4" w:space="0"/>
              <w:left w:val="single" w:color="auto" w:sz="4" w:space="0"/>
              <w:bottom w:val="single" w:color="auto" w:sz="4" w:space="0"/>
              <w:right w:val="single" w:color="auto" w:sz="4" w:space="0"/>
            </w:tcBorders>
            <w:noWrap w:val="0"/>
            <w:vAlign w:val="center"/>
          </w:tcPr>
          <w:p w14:paraId="75FABC89">
            <w:pPr>
              <w:widowControl/>
              <w:spacing w:line="360" w:lineRule="auto"/>
              <w:rPr>
                <w:rFonts w:hint="eastAsia" w:ascii="楷体_GB2312" w:hAnsi="宋体" w:eastAsia="楷体_GB2312" w:cs="宋体"/>
                <w:kern w:val="0"/>
                <w:sz w:val="24"/>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796CC7B8">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150</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0B5D9C98">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180</w:t>
            </w:r>
          </w:p>
        </w:tc>
      </w:tr>
    </w:tbl>
    <w:p w14:paraId="421E1376">
      <w:pPr>
        <w:widowControl/>
        <w:spacing w:line="372" w:lineRule="auto"/>
        <w:rPr>
          <w:rFonts w:hint="eastAsia" w:ascii="楷体_GB2312" w:hAnsi="宋体" w:eastAsia="楷体_GB2312" w:cs="宋体"/>
          <w:b/>
          <w:color w:val="000000"/>
          <w:kern w:val="0"/>
          <w:sz w:val="24"/>
        </w:rPr>
      </w:pPr>
      <w:r>
        <w:rPr>
          <w:rFonts w:hint="eastAsia" w:ascii="楷体_GB2312" w:hAnsi="Calibri" w:eastAsia="楷体_GB2312" w:cs="宋体"/>
          <w:b/>
          <w:color w:val="000000"/>
          <w:kern w:val="0"/>
          <w:sz w:val="24"/>
        </w:rPr>
        <w:t>六、参考书目</w:t>
      </w:r>
    </w:p>
    <w:p w14:paraId="739E46C1">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1. 《日语综合教程》（第五册）陆静华</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编，上海外语教育出版社，201</w:t>
      </w:r>
      <w:r>
        <w:rPr>
          <w:rFonts w:ascii="楷体_GB2312" w:hAnsi="Calibri" w:eastAsia="楷体_GB2312" w:cs="宋体"/>
          <w:color w:val="000000"/>
          <w:kern w:val="0"/>
          <w:sz w:val="24"/>
        </w:rPr>
        <w:t>7</w:t>
      </w:r>
      <w:r>
        <w:rPr>
          <w:rFonts w:hint="eastAsia" w:ascii="楷体_GB2312" w:hAnsi="Calibri" w:eastAsia="楷体_GB2312" w:cs="宋体"/>
          <w:color w:val="000000"/>
          <w:kern w:val="0"/>
          <w:sz w:val="24"/>
        </w:rPr>
        <w:t>年版</w:t>
      </w:r>
    </w:p>
    <w:p w14:paraId="234CCA55">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2. 《日语综合教程》（第六册）陈小芬</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编，上海外语教育出版社，201</w:t>
      </w:r>
      <w:r>
        <w:rPr>
          <w:rFonts w:ascii="楷体_GB2312" w:hAnsi="Calibri" w:eastAsia="楷体_GB2312" w:cs="宋体"/>
          <w:color w:val="000000"/>
          <w:kern w:val="0"/>
          <w:sz w:val="24"/>
        </w:rPr>
        <w:t>8</w:t>
      </w:r>
      <w:r>
        <w:rPr>
          <w:rFonts w:hint="eastAsia" w:ascii="楷体_GB2312" w:hAnsi="Calibri" w:eastAsia="楷体_GB2312" w:cs="宋体"/>
          <w:color w:val="000000"/>
          <w:kern w:val="0"/>
          <w:sz w:val="24"/>
        </w:rPr>
        <w:t>年版</w:t>
      </w:r>
    </w:p>
    <w:p w14:paraId="5681087C">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3.</w:t>
      </w:r>
      <w:r>
        <w:rPr>
          <w:rFonts w:ascii="楷体_GB2312" w:hAnsi="Calibri" w:eastAsia="楷体_GB2312" w:cs="宋体"/>
          <w:color w:val="000000"/>
          <w:kern w:val="0"/>
          <w:sz w:val="24"/>
        </w:rPr>
        <w:t xml:space="preserve"> </w:t>
      </w:r>
      <w:r>
        <w:rPr>
          <w:rFonts w:hint="eastAsia" w:ascii="楷体_GB2312" w:hAnsi="Calibri" w:eastAsia="楷体_GB2312" w:cs="宋体"/>
          <w:color w:val="000000"/>
          <w:kern w:val="0"/>
          <w:sz w:val="24"/>
        </w:rPr>
        <w:t>《汉日翻译教程 (“理解当代中国”日语系列教材) 》</w:t>
      </w:r>
      <w:r>
        <w:rPr>
          <w:rFonts w:hint="eastAsia"/>
        </w:rPr>
        <w:t xml:space="preserve"> </w:t>
      </w:r>
      <w:r>
        <w:rPr>
          <w:rFonts w:hint="eastAsia" w:ascii="楷体_GB2312" w:hAnsi="Calibri" w:eastAsia="楷体_GB2312" w:cs="宋体"/>
          <w:color w:val="000000"/>
          <w:kern w:val="0"/>
          <w:sz w:val="24"/>
        </w:rPr>
        <w:t>宋协毅</w:t>
      </w:r>
      <w:r>
        <w:rPr>
          <w:rFonts w:ascii="楷体_GB2312" w:hAnsi="Calibri" w:eastAsia="楷体_GB2312" w:cs="宋体"/>
          <w:color w:val="000000"/>
          <w:kern w:val="0"/>
          <w:sz w:val="24"/>
        </w:rPr>
        <w:t>主</w:t>
      </w:r>
      <w:r>
        <w:rPr>
          <w:rFonts w:hint="eastAsia" w:ascii="楷体_GB2312" w:hAnsi="Calibri" w:eastAsia="楷体_GB2312" w:cs="宋体"/>
          <w:color w:val="000000"/>
          <w:kern w:val="0"/>
          <w:sz w:val="24"/>
        </w:rPr>
        <w:t>编，外语教学与研究出版社，2022年版</w:t>
      </w:r>
    </w:p>
    <w:p w14:paraId="488123A1">
      <w:pPr>
        <w:widowControl/>
        <w:spacing w:line="360" w:lineRule="auto"/>
        <w:jc w:val="left"/>
        <w:rPr>
          <w:rFonts w:hint="eastAsia" w:ascii="楷体_GB2312" w:hAnsi="Calibri" w:eastAsia="楷体_GB2312" w:cs="宋体"/>
          <w:color w:val="000000"/>
          <w:kern w:val="0"/>
          <w:sz w:val="24"/>
        </w:rPr>
      </w:pPr>
    </w:p>
    <w:p w14:paraId="7EE92E8D">
      <w:pPr>
        <w:widowControl/>
        <w:spacing w:line="360" w:lineRule="auto"/>
        <w:ind w:firstLine="240" w:firstLineChars="100"/>
        <w:jc w:val="left"/>
        <w:rPr>
          <w:rFonts w:hint="eastAsia" w:ascii="楷体_GB2312" w:hAnsi="Calibri" w:eastAsia="楷体_GB2312" w:cs="宋体"/>
          <w:color w:val="000000"/>
          <w:kern w:val="0"/>
          <w:sz w:val="24"/>
        </w:rPr>
      </w:pPr>
    </w:p>
    <w:p w14:paraId="6AC66436">
      <w:pPr>
        <w:widowControl/>
        <w:shd w:val="clear" w:color="auto" w:fill="FFFFFF"/>
        <w:spacing w:line="360" w:lineRule="auto"/>
        <w:jc w:val="center"/>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9F0A">
    <w:pPr>
      <w:jc w:val="center"/>
      <w:rPr>
        <w:rFonts w:hint="eastAsia"/>
        <w:color w:val="F8F8F8"/>
        <w:sz w:val="10"/>
        <w:szCs w:val="10"/>
      </w:rPr>
    </w:pPr>
    <w:r>
      <w:rPr>
        <w:rFonts w:hint="eastAsia"/>
        <w:color w:val="F8F8F8"/>
        <w:sz w:val="10"/>
        <w:szCs w:val="10"/>
      </w:rPr>
      <w:t xml:space="preserve">无锡信息港WWW.TAIHUWANG.COM  WWW.QHTLW.COM  WWW.TPA.NET.CN WWW.WAIGUA999.COM  WWW.TDRLC.NET </w:t>
    </w:r>
  </w:p>
  <w:p w14:paraId="46C0773B">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3D8F">
    <w:pPr>
      <w:pStyle w:val="3"/>
      <w:rPr>
        <w:rFonts w:ascii="MS Sans Serif" w:hAnsi="MS Sans Serif"/>
        <w:color w:val="FFFFFF"/>
        <w:sz w:val="16"/>
      </w:rPr>
    </w:pPr>
    <w:r>
      <w:rPr>
        <w:rFonts w:ascii="MS Sans Serif" w:hAnsi="MS Sans Serif"/>
        <w:color w:val="FFFFFF"/>
        <w:sz w:val="16"/>
      </w:rPr>
      <w:t>DBFQ SYY DYPT DFDF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D900F7"/>
    <w:rsid w:val="00006049"/>
    <w:rsid w:val="00103387"/>
    <w:rsid w:val="0012519A"/>
    <w:rsid w:val="00186D68"/>
    <w:rsid w:val="001B55C4"/>
    <w:rsid w:val="001D4031"/>
    <w:rsid w:val="001D702F"/>
    <w:rsid w:val="001F1F04"/>
    <w:rsid w:val="002102C3"/>
    <w:rsid w:val="00215B39"/>
    <w:rsid w:val="00236371"/>
    <w:rsid w:val="002B6AF8"/>
    <w:rsid w:val="002D04E1"/>
    <w:rsid w:val="002E155A"/>
    <w:rsid w:val="002E1DF8"/>
    <w:rsid w:val="00334620"/>
    <w:rsid w:val="00343EA6"/>
    <w:rsid w:val="003A379C"/>
    <w:rsid w:val="003C74E5"/>
    <w:rsid w:val="003E0079"/>
    <w:rsid w:val="0044311F"/>
    <w:rsid w:val="004B37A7"/>
    <w:rsid w:val="005C3093"/>
    <w:rsid w:val="005E3C4E"/>
    <w:rsid w:val="00611828"/>
    <w:rsid w:val="0068762E"/>
    <w:rsid w:val="006A62DD"/>
    <w:rsid w:val="006B4426"/>
    <w:rsid w:val="006C414E"/>
    <w:rsid w:val="006E63D6"/>
    <w:rsid w:val="00702AFB"/>
    <w:rsid w:val="00707172"/>
    <w:rsid w:val="007120DE"/>
    <w:rsid w:val="00737C58"/>
    <w:rsid w:val="007469BE"/>
    <w:rsid w:val="007475D8"/>
    <w:rsid w:val="00782E03"/>
    <w:rsid w:val="007A31D2"/>
    <w:rsid w:val="007B1C8A"/>
    <w:rsid w:val="007C4E27"/>
    <w:rsid w:val="007F6BDB"/>
    <w:rsid w:val="00814661"/>
    <w:rsid w:val="00837434"/>
    <w:rsid w:val="008759A5"/>
    <w:rsid w:val="00882CBA"/>
    <w:rsid w:val="00894457"/>
    <w:rsid w:val="008C282E"/>
    <w:rsid w:val="0091283F"/>
    <w:rsid w:val="0094741C"/>
    <w:rsid w:val="00964B1C"/>
    <w:rsid w:val="00982ACC"/>
    <w:rsid w:val="00A71D4C"/>
    <w:rsid w:val="00AB56F7"/>
    <w:rsid w:val="00AC30E4"/>
    <w:rsid w:val="00B15ADA"/>
    <w:rsid w:val="00BE2B71"/>
    <w:rsid w:val="00CA2884"/>
    <w:rsid w:val="00CD3296"/>
    <w:rsid w:val="00CE6FDD"/>
    <w:rsid w:val="00D703FF"/>
    <w:rsid w:val="00D900F7"/>
    <w:rsid w:val="00D92F67"/>
    <w:rsid w:val="00DB621D"/>
    <w:rsid w:val="00DB6E12"/>
    <w:rsid w:val="00DF54E7"/>
    <w:rsid w:val="00E476BB"/>
    <w:rsid w:val="00EB3322"/>
    <w:rsid w:val="00F00FFB"/>
    <w:rsid w:val="00F273EE"/>
    <w:rsid w:val="00F376D3"/>
    <w:rsid w:val="00F92D7D"/>
    <w:rsid w:val="00FB43F8"/>
    <w:rsid w:val="00FB5A61"/>
    <w:rsid w:val="00FF6757"/>
    <w:rsid w:val="05B04651"/>
    <w:rsid w:val="097E5D15"/>
    <w:rsid w:val="0DEC484D"/>
    <w:rsid w:val="0FBA1BD3"/>
    <w:rsid w:val="107C15D5"/>
    <w:rsid w:val="1A24257A"/>
    <w:rsid w:val="2C801C3F"/>
    <w:rsid w:val="2C807094"/>
    <w:rsid w:val="2D4D68D7"/>
    <w:rsid w:val="3A833294"/>
    <w:rsid w:val="3DCC459A"/>
    <w:rsid w:val="3F3251C6"/>
    <w:rsid w:val="40462A15"/>
    <w:rsid w:val="43C23139"/>
    <w:rsid w:val="691D1D36"/>
    <w:rsid w:val="7B7F5C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nwpu</Company>
  <Pages>3</Pages>
  <Words>1229</Words>
  <Characters>1274</Characters>
  <Lines>9</Lines>
  <Paragraphs>2</Paragraphs>
  <TotalTime>0</TotalTime>
  <ScaleCrop>false</ScaleCrop>
  <LinksUpToDate>false</LinksUpToDate>
  <CharactersWithSpaces>1289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2014-09-13T04:45:00Z</dcterms:created>
  <dc:creator>wp</dc:creator>
  <cp:lastModifiedBy>vertesyuan</cp:lastModifiedBy>
  <dcterms:modified xsi:type="dcterms:W3CDTF">2024-10-10T05:13:45Z</dcterms:modified>
  <dc:title>《翻译硕士英语》考试大纲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48FD2E93B31B4F439097854106315650_13</vt:lpwstr>
  </property>
</Properties>
</file>