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D7E541">
      <w:pPr>
        <w:spacing w:line="0" w:lineRule="atLeast"/>
        <w:ind w:left="-2" w:leftChars="-201" w:right="-1" w:hanging="420" w:hangingChars="95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55F35D08">
      <w:pPr>
        <w:spacing w:line="0" w:lineRule="atLeast"/>
        <w:ind w:left="-2" w:leftChars="-201" w:right="-1" w:hanging="420" w:hangingChars="95"/>
        <w:contextualSpacing/>
        <w:jc w:val="center"/>
        <w:rPr>
          <w:rFonts w:hint="eastAsia"/>
          <w:b/>
          <w:sz w:val="44"/>
          <w:szCs w:val="44"/>
        </w:rPr>
      </w:pPr>
    </w:p>
    <w:p w14:paraId="1E4B5B4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航海专业</w:t>
      </w:r>
      <w:r>
        <w:rPr>
          <w:sz w:val="28"/>
          <w:szCs w:val="28"/>
        </w:rPr>
        <w:t>综合</w:t>
      </w:r>
      <w:r>
        <w:rPr>
          <w:rFonts w:hint="eastAsia"/>
          <w:sz w:val="28"/>
          <w:szCs w:val="28"/>
        </w:rPr>
        <w:t>（其中《航海学》占60%，《国际海上避碰规则》占40%。）</w:t>
      </w:r>
    </w:p>
    <w:p w14:paraId="28B02AC6">
      <w:pPr>
        <w:spacing w:after="0" w:line="0" w:lineRule="atLeast"/>
        <w:ind w:left="0" w:right="0"/>
        <w:contextualSpacing/>
        <w:outlineLvl w:val="0"/>
        <w:rPr>
          <w:rFonts w:hint="eastAsia"/>
          <w:sz w:val="28"/>
          <w:szCs w:val="28"/>
        </w:rPr>
      </w:pPr>
    </w:p>
    <w:p w14:paraId="3CAF3510">
      <w:pPr>
        <w:spacing w:after="0" w:line="0" w:lineRule="atLeast"/>
        <w:ind w:left="0" w:righ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航海学部分</w:t>
      </w:r>
    </w:p>
    <w:p w14:paraId="7E65D888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 基础知识</w:t>
      </w:r>
    </w:p>
    <w:p w14:paraId="09E03872">
      <w:pPr>
        <w:pStyle w:val="16"/>
        <w:numPr>
          <w:ilvl w:val="0"/>
          <w:numId w:val="1"/>
        </w:numPr>
        <w:spacing w:after="0" w:line="0" w:lineRule="atLeast"/>
        <w:ind w:right="0" w:firstLineChars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  <w:r>
        <w:rPr>
          <w:b/>
          <w:sz w:val="28"/>
          <w:szCs w:val="28"/>
        </w:rPr>
        <w:t>：</w:t>
      </w:r>
    </w:p>
    <w:p w14:paraId="256B7C4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地理坐标、航向与方位、能见距离、航速与航程、</w:t>
      </w:r>
      <w:r>
        <w:rPr>
          <w:rFonts w:hint="eastAsia"/>
          <w:sz w:val="28"/>
          <w:szCs w:val="28"/>
        </w:rPr>
        <w:t>航用海图</w:t>
      </w:r>
      <w:r>
        <w:rPr>
          <w:sz w:val="28"/>
          <w:szCs w:val="28"/>
        </w:rPr>
        <w:t>投影方法与使用。</w:t>
      </w:r>
    </w:p>
    <w:p w14:paraId="5BF0E0E8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考试要求</w:t>
      </w:r>
    </w:p>
    <w:p w14:paraId="63288E5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（1）了解</w:t>
      </w:r>
      <w:r>
        <w:rPr>
          <w:sz w:val="28"/>
          <w:szCs w:val="28"/>
        </w:rPr>
        <w:t>能见距离的相关概念与特点；</w:t>
      </w:r>
    </w:p>
    <w:p w14:paraId="6988589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>
        <w:rPr>
          <w:sz w:val="28"/>
          <w:szCs w:val="28"/>
        </w:rPr>
        <w:t>理解航速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航程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墨卡托投影以及其他航用海图的投影方法与特点；</w:t>
      </w:r>
    </w:p>
    <w:p w14:paraId="1F4D4EC2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>
        <w:rPr>
          <w:sz w:val="28"/>
          <w:szCs w:val="28"/>
        </w:rPr>
        <w:t>掌握航速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航程计算方法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航用海图的读识；</w:t>
      </w:r>
    </w:p>
    <w:p w14:paraId="6036CDF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（4）</w:t>
      </w:r>
      <w:r>
        <w:rPr>
          <w:sz w:val="28"/>
          <w:szCs w:val="28"/>
        </w:rPr>
        <w:t>熟练掌握地理坐标、航向与方位</w:t>
      </w:r>
      <w:r>
        <w:rPr>
          <w:rFonts w:hint="eastAsia"/>
          <w:sz w:val="28"/>
          <w:szCs w:val="28"/>
        </w:rPr>
        <w:t>相关</w:t>
      </w:r>
      <w:r>
        <w:rPr>
          <w:sz w:val="28"/>
          <w:szCs w:val="28"/>
        </w:rPr>
        <w:t>概念与计算。</w:t>
      </w:r>
    </w:p>
    <w:p w14:paraId="6543B0D8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49889A23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 船舶</w:t>
      </w:r>
      <w:r>
        <w:rPr>
          <w:b/>
          <w:sz w:val="28"/>
          <w:szCs w:val="28"/>
        </w:rPr>
        <w:t>定位</w:t>
      </w:r>
    </w:p>
    <w:p w14:paraId="06F0C6E5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1.考试内容</w:t>
      </w:r>
      <w:r>
        <w:rPr>
          <w:b/>
          <w:sz w:val="28"/>
          <w:szCs w:val="28"/>
        </w:rPr>
        <w:t>：</w:t>
      </w:r>
    </w:p>
    <w:p w14:paraId="6D422162">
      <w:pPr>
        <w:pStyle w:val="16"/>
        <w:spacing w:after="0" w:line="0" w:lineRule="atLeast"/>
        <w:ind w:left="360" w:right="0" w:firstLine="0" w:firstLineChars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航迹推算</w:t>
      </w:r>
      <w:r>
        <w:rPr>
          <w:sz w:val="28"/>
          <w:szCs w:val="28"/>
        </w:rPr>
        <w:t>、陆标识别与测定、</w:t>
      </w:r>
      <w:r>
        <w:rPr>
          <w:rFonts w:hint="eastAsia"/>
          <w:sz w:val="28"/>
          <w:szCs w:val="28"/>
        </w:rPr>
        <w:t>方位</w:t>
      </w:r>
      <w:r>
        <w:rPr>
          <w:sz w:val="28"/>
          <w:szCs w:val="28"/>
        </w:rPr>
        <w:t>定位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距离定位、方位距离定位、移线定位、电子定位</w:t>
      </w:r>
      <w:r>
        <w:rPr>
          <w:rFonts w:hint="eastAsia"/>
          <w:sz w:val="28"/>
          <w:szCs w:val="28"/>
        </w:rPr>
        <w:t>。</w:t>
      </w:r>
    </w:p>
    <w:p w14:paraId="3B124E51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 考试要求：</w:t>
      </w:r>
    </w:p>
    <w:p w14:paraId="4ABCEB2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>
        <w:rPr>
          <w:sz w:val="28"/>
          <w:szCs w:val="28"/>
        </w:rPr>
        <w:t>了解航迹推算</w:t>
      </w:r>
      <w:r>
        <w:rPr>
          <w:rFonts w:hint="eastAsia"/>
          <w:sz w:val="28"/>
          <w:szCs w:val="28"/>
        </w:rPr>
        <w:t>、GPS定位</w:t>
      </w:r>
      <w:r>
        <w:rPr>
          <w:sz w:val="28"/>
          <w:szCs w:val="28"/>
        </w:rPr>
        <w:t>的基本概念与原理</w:t>
      </w:r>
      <w:r>
        <w:rPr>
          <w:rFonts w:hint="eastAsia"/>
          <w:sz w:val="28"/>
          <w:szCs w:val="28"/>
        </w:rPr>
        <w:t>；</w:t>
      </w:r>
    </w:p>
    <w:p w14:paraId="2E743EC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>
        <w:rPr>
          <w:sz w:val="28"/>
          <w:szCs w:val="28"/>
        </w:rPr>
        <w:t>理解特殊方位移线定位的基本原理和相关概念；</w:t>
      </w:r>
    </w:p>
    <w:p w14:paraId="0209CC3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>
        <w:rPr>
          <w:sz w:val="28"/>
          <w:szCs w:val="28"/>
        </w:rPr>
        <w:t>掌握航迹计算和</w:t>
      </w:r>
      <w:r>
        <w:rPr>
          <w:rFonts w:hint="eastAsia"/>
          <w:sz w:val="28"/>
          <w:szCs w:val="28"/>
        </w:rPr>
        <w:t>方位</w:t>
      </w:r>
      <w:r>
        <w:rPr>
          <w:sz w:val="28"/>
          <w:szCs w:val="28"/>
        </w:rPr>
        <w:t>、距离以及方位距离定位方法。</w:t>
      </w:r>
    </w:p>
    <w:p w14:paraId="25052055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65DF7A92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航路资料</w:t>
      </w:r>
    </w:p>
    <w:p w14:paraId="49B8CC1E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 考试内容</w:t>
      </w:r>
      <w:r>
        <w:rPr>
          <w:b/>
          <w:sz w:val="28"/>
          <w:szCs w:val="28"/>
        </w:rPr>
        <w:t>：</w:t>
      </w:r>
    </w:p>
    <w:p w14:paraId="6E1BE15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潮汐、航标、航海图书资料</w:t>
      </w:r>
      <w:r>
        <w:rPr>
          <w:rFonts w:hint="eastAsia"/>
          <w:sz w:val="28"/>
          <w:szCs w:val="28"/>
        </w:rPr>
        <w:t>。</w:t>
      </w:r>
    </w:p>
    <w:p w14:paraId="6355E49B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Fonts w:hint="eastAsia"/>
          <w:b/>
          <w:sz w:val="28"/>
          <w:szCs w:val="28"/>
        </w:rPr>
        <w:t>考试要求：</w:t>
      </w:r>
    </w:p>
    <w:p w14:paraId="4BC80605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>
        <w:rPr>
          <w:sz w:val="28"/>
          <w:szCs w:val="28"/>
        </w:rPr>
        <w:t>了解数字版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电子版航海图书资料</w:t>
      </w:r>
      <w:r>
        <w:rPr>
          <w:rFonts w:hint="eastAsia"/>
          <w:sz w:val="28"/>
          <w:szCs w:val="28"/>
        </w:rPr>
        <w:t>；</w:t>
      </w:r>
    </w:p>
    <w:p w14:paraId="5861FD2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（2）掌握《</w:t>
      </w:r>
      <w:r>
        <w:rPr>
          <w:sz w:val="28"/>
          <w:szCs w:val="28"/>
        </w:rPr>
        <w:t>航路指南》、《进港指南》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《无线电信号表》、</w:t>
      </w: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>航海图书目录》、航海通告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航海通告年度摘要的内容和作用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以及利用中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英版</w:t>
      </w: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>潮汐表》和海图资料计算潮流的方法。</w:t>
      </w:r>
    </w:p>
    <w:p w14:paraId="790E1A8F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>
        <w:rPr>
          <w:sz w:val="28"/>
          <w:szCs w:val="28"/>
        </w:rPr>
        <w:t>熟练掌握中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英版</w:t>
      </w:r>
      <w:r>
        <w:rPr>
          <w:rFonts w:hint="eastAsia"/>
          <w:sz w:val="28"/>
          <w:szCs w:val="28"/>
        </w:rPr>
        <w:t>《潮汐表》</w:t>
      </w:r>
      <w:r>
        <w:rPr>
          <w:sz w:val="28"/>
          <w:szCs w:val="28"/>
        </w:rPr>
        <w:t>的内容与潮汐</w:t>
      </w:r>
      <w:r>
        <w:rPr>
          <w:rFonts w:hint="eastAsia"/>
          <w:sz w:val="28"/>
          <w:szCs w:val="28"/>
        </w:rPr>
        <w:t>计算</w:t>
      </w:r>
      <w:r>
        <w:rPr>
          <w:sz w:val="28"/>
          <w:szCs w:val="28"/>
        </w:rPr>
        <w:t>以及潮汐在航海上的应用的各类</w:t>
      </w:r>
      <w:r>
        <w:rPr>
          <w:rFonts w:hint="eastAsia"/>
          <w:sz w:val="28"/>
          <w:szCs w:val="28"/>
        </w:rPr>
        <w:t>问题</w:t>
      </w:r>
      <w:r>
        <w:rPr>
          <w:sz w:val="28"/>
          <w:szCs w:val="28"/>
        </w:rPr>
        <w:t>的解算方法。</w:t>
      </w:r>
    </w:p>
    <w:p w14:paraId="05092E55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07C558FF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航线</w:t>
      </w:r>
      <w:r>
        <w:rPr>
          <w:b/>
          <w:sz w:val="28"/>
          <w:szCs w:val="28"/>
        </w:rPr>
        <w:t>与航行方法</w:t>
      </w:r>
    </w:p>
    <w:p w14:paraId="1D3FD73A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 考试内容</w:t>
      </w:r>
      <w:r>
        <w:rPr>
          <w:b/>
          <w:sz w:val="28"/>
          <w:szCs w:val="28"/>
        </w:rPr>
        <w:t>：</w:t>
      </w:r>
    </w:p>
    <w:p w14:paraId="73FA1AA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大洋航行与最佳航线、沿岸航行、狭水道与运河航行、特殊条件下的航行、船舶交通管理与船舶报告</w:t>
      </w:r>
      <w:r>
        <w:rPr>
          <w:rFonts w:hint="eastAsia"/>
          <w:sz w:val="28"/>
          <w:szCs w:val="28"/>
        </w:rPr>
        <w:t>系统</w:t>
      </w:r>
      <w:r>
        <w:rPr>
          <w:sz w:val="28"/>
          <w:szCs w:val="28"/>
        </w:rPr>
        <w:t>、电子海图显示与信息系统。</w:t>
      </w:r>
    </w:p>
    <w:p w14:paraId="21E4D49E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Fonts w:hint="eastAsia"/>
          <w:b/>
          <w:sz w:val="28"/>
          <w:szCs w:val="28"/>
        </w:rPr>
        <w:t>考试要求：</w:t>
      </w:r>
    </w:p>
    <w:p w14:paraId="024C3B42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（1） 了解</w:t>
      </w:r>
      <w:r>
        <w:rPr>
          <w:sz w:val="28"/>
          <w:szCs w:val="28"/>
        </w:rPr>
        <w:t>船舶交通管理与船舶报告系统；</w:t>
      </w:r>
    </w:p>
    <w:p w14:paraId="0AAFA0A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（2） 理解</w:t>
      </w:r>
      <w:r>
        <w:rPr>
          <w:sz w:val="28"/>
          <w:szCs w:val="28"/>
        </w:rPr>
        <w:t>电子海图显示与信息系统相关的法律要求</w:t>
      </w:r>
      <w:r>
        <w:rPr>
          <w:rFonts w:hint="eastAsia"/>
          <w:sz w:val="28"/>
          <w:szCs w:val="28"/>
        </w:rPr>
        <w:t>；</w:t>
      </w:r>
    </w:p>
    <w:p w14:paraId="61C0C9FF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（3） 掌握</w:t>
      </w:r>
      <w:r>
        <w:rPr>
          <w:sz w:val="28"/>
          <w:szCs w:val="28"/>
        </w:rPr>
        <w:t>大洋航线、沿岸航线设计所考虑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各项因素，雾中航行与冰区航行应该</w:t>
      </w:r>
      <w:r>
        <w:rPr>
          <w:rFonts w:hint="eastAsia"/>
          <w:sz w:val="28"/>
          <w:szCs w:val="28"/>
        </w:rPr>
        <w:t>考虑的</w:t>
      </w:r>
      <w:r>
        <w:rPr>
          <w:sz w:val="28"/>
          <w:szCs w:val="28"/>
        </w:rPr>
        <w:t>因素和注意的问题</w:t>
      </w:r>
      <w:r>
        <w:rPr>
          <w:rFonts w:hint="eastAsia"/>
          <w:sz w:val="28"/>
          <w:szCs w:val="28"/>
        </w:rPr>
        <w:t>；</w:t>
      </w:r>
    </w:p>
    <w:p w14:paraId="2DAD144A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（4）</w:t>
      </w:r>
      <w:r>
        <w:rPr>
          <w:sz w:val="28"/>
          <w:szCs w:val="28"/>
        </w:rPr>
        <w:t>熟练掌握大洋航线的求算方法、</w:t>
      </w:r>
      <w:r>
        <w:rPr>
          <w:rFonts w:hint="eastAsia"/>
          <w:sz w:val="28"/>
          <w:szCs w:val="28"/>
        </w:rPr>
        <w:t>狭水道</w:t>
      </w:r>
      <w:r>
        <w:rPr>
          <w:sz w:val="28"/>
          <w:szCs w:val="28"/>
        </w:rPr>
        <w:t>航行的导航、避险和转向方法。</w:t>
      </w:r>
    </w:p>
    <w:p w14:paraId="21AAD69D">
      <w:pPr>
        <w:pStyle w:val="11"/>
        <w:outlineLvl w:val="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 xml:space="preserve"> </w:t>
      </w:r>
    </w:p>
    <w:p w14:paraId="6B4A5CB0">
      <w:pPr>
        <w:numPr>
          <w:ilvl w:val="0"/>
          <w:numId w:val="2"/>
        </w:numPr>
        <w:spacing w:after="0" w:line="0" w:lineRule="atLeast"/>
        <w:ind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7325B91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《航海学》 郭禹 张吉平 戴冉   大连海事大学出版社  2014年</w:t>
      </w:r>
    </w:p>
    <w:p w14:paraId="1FBDABEA">
      <w:pPr>
        <w:spacing w:after="0" w:line="0" w:lineRule="atLeast"/>
        <w:ind w:left="0" w:right="0"/>
        <w:contextualSpacing/>
        <w:outlineLvl w:val="0"/>
        <w:rPr>
          <w:rFonts w:hint="eastAsia"/>
          <w:sz w:val="28"/>
          <w:szCs w:val="28"/>
        </w:rPr>
      </w:pPr>
    </w:p>
    <w:p w14:paraId="3F1649E0">
      <w:pPr>
        <w:spacing w:after="0" w:line="0" w:lineRule="atLeast"/>
        <w:ind w:left="0" w:right="0"/>
        <w:contextualSpacing/>
        <w:outlineLvl w:val="0"/>
        <w:rPr>
          <w:rFonts w:hint="eastAsia"/>
          <w:sz w:val="28"/>
          <w:szCs w:val="28"/>
        </w:rPr>
      </w:pPr>
    </w:p>
    <w:p w14:paraId="5D61686B">
      <w:pPr>
        <w:spacing w:after="0" w:line="0" w:lineRule="atLeast"/>
        <w:ind w:left="0" w:right="0"/>
        <w:contextualSpacing/>
        <w:jc w:val="center"/>
        <w:outlineLvl w:val="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航行规则部分</w:t>
      </w:r>
    </w:p>
    <w:p w14:paraId="4236AEF8">
      <w:pPr>
        <w:spacing w:after="0" w:line="0" w:lineRule="atLeast"/>
        <w:ind w:left="0" w:right="0"/>
        <w:contextualSpacing/>
        <w:outlineLvl w:val="0"/>
        <w:rPr>
          <w:rFonts w:hint="eastAsia"/>
          <w:sz w:val="28"/>
          <w:szCs w:val="28"/>
        </w:rPr>
      </w:pPr>
      <w:r>
        <w:rPr>
          <w:sz w:val="28"/>
          <w:szCs w:val="28"/>
        </w:rPr>
        <w:t>试卷内容结构</w:t>
      </w:r>
      <w:r>
        <w:rPr>
          <w:rFonts w:hint="eastAsia"/>
          <w:sz w:val="28"/>
          <w:szCs w:val="28"/>
        </w:rPr>
        <w:t>：1972年国际海上避碰规则1-38条。</w:t>
      </w:r>
    </w:p>
    <w:p w14:paraId="3CF77DBD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</w:p>
    <w:p w14:paraId="4E9D42B0">
      <w:pPr>
        <w:pStyle w:val="11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一、国际海上避碰规则概述</w:t>
      </w:r>
    </w:p>
    <w:p w14:paraId="67EAFFF3">
      <w:pPr>
        <w:pStyle w:val="14"/>
        <w:spacing w:after="0" w:line="0" w:lineRule="atLeast"/>
        <w:ind w:left="0" w:right="0" w:firstLine="0" w:firstLineChars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1830E5C7">
      <w:pPr>
        <w:snapToGrid w:val="0"/>
        <w:ind w:left="0" w:right="-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《规则》的适用范围和一般定义、《规则》的内容和性质、解释和运用、《规则》的发展历程；</w:t>
      </w:r>
    </w:p>
    <w:p w14:paraId="52B22BEB">
      <w:pPr>
        <w:snapToGrid w:val="0"/>
        <w:ind w:left="0"/>
        <w:rPr>
          <w:rFonts w:hint="eastAsia"/>
          <w:sz w:val="28"/>
          <w:szCs w:val="28"/>
        </w:rPr>
      </w:pPr>
    </w:p>
    <w:p w14:paraId="73A898F3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  <w:r>
        <w:rPr>
          <w:b/>
          <w:sz w:val="28"/>
          <w:szCs w:val="28"/>
        </w:rPr>
        <w:t>：</w:t>
      </w:r>
    </w:p>
    <w:p w14:paraId="3A4337D6">
      <w:pPr>
        <w:numPr>
          <w:ilvl w:val="0"/>
          <w:numId w:val="3"/>
        </w:numPr>
        <w:spacing w:after="0" w:line="0" w:lineRule="atLeast"/>
        <w:ind w:right="-1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掌握《规则》的使用范围和一般定义；</w:t>
      </w:r>
    </w:p>
    <w:p w14:paraId="795D6B2C">
      <w:pPr>
        <w:numPr>
          <w:ilvl w:val="0"/>
          <w:numId w:val="3"/>
        </w:numPr>
        <w:spacing w:after="0" w:line="0" w:lineRule="atLeast"/>
        <w:ind w:right="-1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理解《规则》的内容和性质，相关术语的解释和运用；</w:t>
      </w:r>
    </w:p>
    <w:p w14:paraId="7EC16129">
      <w:pPr>
        <w:numPr>
          <w:ilvl w:val="0"/>
          <w:numId w:val="3"/>
        </w:numPr>
        <w:spacing w:after="0" w:line="0" w:lineRule="atLeast"/>
        <w:ind w:right="-1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了解《规则》的发展历程。</w:t>
      </w:r>
    </w:p>
    <w:p w14:paraId="3492D02F">
      <w:pPr>
        <w:widowControl w:val="0"/>
        <w:spacing w:after="0" w:line="240" w:lineRule="auto"/>
        <w:ind w:left="0" w:right="0"/>
        <w:jc w:val="both"/>
        <w:rPr>
          <w:rFonts w:hint="eastAsia"/>
          <w:sz w:val="28"/>
          <w:szCs w:val="28"/>
        </w:rPr>
      </w:pPr>
    </w:p>
    <w:p w14:paraId="4FD91E64">
      <w:pPr>
        <w:pStyle w:val="11"/>
        <w:rPr>
          <w:rFonts w:hint="eastAsia"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二、</w:t>
      </w:r>
      <w:r>
        <w:rPr>
          <w:rFonts w:hint="eastAsia" w:ascii="宋体" w:hAnsi="宋体" w:eastAsia="宋体"/>
          <w:szCs w:val="28"/>
        </w:rPr>
        <w:t>船舶信号</w:t>
      </w:r>
    </w:p>
    <w:p w14:paraId="396C1531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356AB1A0">
      <w:pPr>
        <w:snapToGrid w:val="0"/>
        <w:ind w:left="0" w:right="-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国际信号规则、号灯和号型、声响信号、灯光信号、遇险信号、号灯号型的识别。</w:t>
      </w:r>
    </w:p>
    <w:p w14:paraId="439296A1">
      <w:pPr>
        <w:adjustRightInd w:val="0"/>
        <w:snapToGrid w:val="0"/>
        <w:ind w:left="0" w:right="-1"/>
        <w:rPr>
          <w:rFonts w:hint="eastAsia"/>
          <w:sz w:val="28"/>
          <w:szCs w:val="28"/>
        </w:rPr>
      </w:pPr>
    </w:p>
    <w:p w14:paraId="698BF2B0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12959DAE">
      <w:pPr>
        <w:numPr>
          <w:ilvl w:val="0"/>
          <w:numId w:val="4"/>
        </w:numPr>
        <w:spacing w:after="0" w:line="0" w:lineRule="atLeast"/>
        <w:ind w:right="-1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掌握国际信号规则、号灯和号型、声响信号、灯光信号、遇险信号；</w:t>
      </w:r>
    </w:p>
    <w:p w14:paraId="6C9AA460">
      <w:pPr>
        <w:numPr>
          <w:ilvl w:val="0"/>
          <w:numId w:val="4"/>
        </w:numPr>
        <w:spacing w:after="0" w:line="0" w:lineRule="atLeast"/>
        <w:ind w:right="-1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掌握号灯号型的识别。</w:t>
      </w:r>
    </w:p>
    <w:p w14:paraId="4BFDDC8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1B411E2">
      <w:pPr>
        <w:pStyle w:val="11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三、任何能见度情况下的行动规则</w:t>
      </w:r>
    </w:p>
    <w:p w14:paraId="231A8BB4">
      <w:pPr>
        <w:snapToGrid w:val="0"/>
        <w:ind w:left="281" w:hanging="281" w:hangingChars="100"/>
        <w:rPr>
          <w:rFonts w:hint="eastAsia"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30FC6E53">
      <w:pPr>
        <w:ind w:left="0" w:right="-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了望</w:t>
      </w:r>
      <w:r>
        <w:rPr>
          <w:rFonts w:hint="eastAsia"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安全航速、碰撞危险、避免碰撞的行动、狭水道、船舶定线制、分道通航制。</w:t>
      </w:r>
    </w:p>
    <w:p w14:paraId="2A3480C0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70DB838B">
      <w:pPr>
        <w:spacing w:after="0" w:line="0" w:lineRule="atLeast"/>
        <w:ind w:left="0" w:right="0"/>
        <w:contextualSpacing/>
        <w:jc w:val="both"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F141C25">
      <w:pPr>
        <w:numPr>
          <w:ilvl w:val="0"/>
          <w:numId w:val="5"/>
        </w:numPr>
        <w:spacing w:after="0" w:line="0" w:lineRule="atLeast"/>
        <w:ind w:right="-1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掌握了望</w:t>
      </w:r>
      <w:r>
        <w:rPr>
          <w:rFonts w:hint="eastAsia"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安全航速、碰撞危险、避免碰撞的行动、狭水道、船舶定线制、分道通航制条款的详细内容和释意。</w:t>
      </w:r>
    </w:p>
    <w:p w14:paraId="4F32F244">
      <w:pPr>
        <w:spacing w:after="0" w:line="0" w:lineRule="atLeast"/>
        <w:ind w:left="0" w:right="-1"/>
        <w:contextualSpacing/>
        <w:rPr>
          <w:rFonts w:hint="eastAsia"/>
          <w:sz w:val="28"/>
          <w:szCs w:val="28"/>
        </w:rPr>
      </w:pPr>
    </w:p>
    <w:p w14:paraId="78F4AA64">
      <w:pPr>
        <w:pStyle w:val="11"/>
        <w:outlineLvl w:val="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四、互见中的避碰</w:t>
      </w:r>
    </w:p>
    <w:p w14:paraId="306EBD0E">
      <w:pPr>
        <w:spacing w:after="0" w:line="0" w:lineRule="atLeast"/>
        <w:ind w:left="0" w:right="-1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5968C943">
      <w:pPr>
        <w:ind w:left="0" w:right="-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帆船；追越；对遇局面；交叉相遇局面；让路船；直航船；船舶之间的责任；避让责任的确定原则；规则关于避让行动的规定；</w:t>
      </w:r>
    </w:p>
    <w:p w14:paraId="5A8EDB3C">
      <w:pPr>
        <w:spacing w:after="0" w:line="0" w:lineRule="atLeast"/>
        <w:ind w:left="0" w:right="-1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5C4E87FE">
      <w:pPr>
        <w:numPr>
          <w:ilvl w:val="0"/>
          <w:numId w:val="6"/>
        </w:numPr>
        <w:spacing w:after="0" w:line="0" w:lineRule="atLeast"/>
        <w:ind w:right="-1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掌握帆船；追越；对遇局面；交叉相遇局面的构成条件；掌握让路船；直航船；船舶之间的责任条款；</w:t>
      </w:r>
    </w:p>
    <w:p w14:paraId="07CBEC5D">
      <w:pPr>
        <w:numPr>
          <w:ilvl w:val="0"/>
          <w:numId w:val="6"/>
        </w:numPr>
        <w:spacing w:after="0" w:line="0" w:lineRule="atLeast"/>
        <w:ind w:right="-1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理解船舶避让责任的确定原则和规则关于避让行动的规定。 </w:t>
      </w:r>
    </w:p>
    <w:p w14:paraId="0D5C7B49">
      <w:pPr>
        <w:spacing w:after="0" w:line="0" w:lineRule="atLeast"/>
        <w:ind w:left="0" w:right="-1"/>
        <w:contextualSpacing/>
        <w:rPr>
          <w:rFonts w:hint="eastAsia"/>
          <w:sz w:val="28"/>
          <w:szCs w:val="28"/>
        </w:rPr>
      </w:pPr>
    </w:p>
    <w:p w14:paraId="395E6BDD">
      <w:pPr>
        <w:pStyle w:val="11"/>
        <w:outlineLvl w:val="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五、能见度不良时的避碰</w:t>
      </w:r>
    </w:p>
    <w:p w14:paraId="0FE3111E">
      <w:pPr>
        <w:spacing w:after="0" w:line="0" w:lineRule="atLeast"/>
        <w:ind w:left="0" w:right="-1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27718F7A">
      <w:pPr>
        <w:tabs>
          <w:tab w:val="left" w:pos="0"/>
        </w:tabs>
        <w:snapToGrid w:val="0"/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能见度不良时的避碰规则适用范围、船舶之间的责任、避让原则。</w:t>
      </w:r>
    </w:p>
    <w:p w14:paraId="215AA729">
      <w:pPr>
        <w:tabs>
          <w:tab w:val="left" w:pos="0"/>
        </w:tabs>
        <w:snapToGrid w:val="0"/>
        <w:ind w:left="0"/>
        <w:rPr>
          <w:rFonts w:hint="eastAsia"/>
          <w:sz w:val="28"/>
          <w:szCs w:val="28"/>
        </w:rPr>
      </w:pPr>
    </w:p>
    <w:p w14:paraId="49D5B46C">
      <w:pPr>
        <w:spacing w:after="0" w:line="0" w:lineRule="atLeast"/>
        <w:ind w:left="0" w:right="-1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210EABF9">
      <w:pPr>
        <w:numPr>
          <w:ilvl w:val="0"/>
          <w:numId w:val="7"/>
        </w:numPr>
        <w:spacing w:after="0" w:line="0" w:lineRule="atLeast"/>
        <w:ind w:right="-1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理解能见度不良时规则的适用范围及此时船舶之间的责任、避让原则</w:t>
      </w:r>
    </w:p>
    <w:p w14:paraId="64FC844F">
      <w:pPr>
        <w:spacing w:after="0" w:line="0" w:lineRule="atLeast"/>
        <w:ind w:right="-1"/>
        <w:contextualSpacing/>
        <w:rPr>
          <w:rFonts w:hint="eastAsia"/>
          <w:sz w:val="28"/>
          <w:szCs w:val="28"/>
        </w:rPr>
      </w:pPr>
    </w:p>
    <w:p w14:paraId="7C9FBEB3">
      <w:pPr>
        <w:pStyle w:val="11"/>
        <w:outlineLvl w:val="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六、责任</w:t>
      </w:r>
    </w:p>
    <w:p w14:paraId="24ED5B76">
      <w:pPr>
        <w:spacing w:after="0" w:line="0" w:lineRule="atLeast"/>
        <w:ind w:left="0" w:right="-1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2EA8860F">
      <w:pPr>
        <w:snapToGrid w:val="0"/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疏忽条款；背离条款；背离规则的意义、背离规则的条件和行动</w:t>
      </w:r>
      <w:r>
        <w:rPr>
          <w:sz w:val="28"/>
          <w:szCs w:val="28"/>
        </w:rPr>
        <w:t>；</w:t>
      </w:r>
    </w:p>
    <w:p w14:paraId="257674D2">
      <w:pPr>
        <w:snapToGrid w:val="0"/>
        <w:ind w:left="0"/>
        <w:rPr>
          <w:rFonts w:hint="eastAsia"/>
          <w:sz w:val="28"/>
          <w:szCs w:val="28"/>
        </w:rPr>
      </w:pPr>
    </w:p>
    <w:p w14:paraId="4FCC8CBE">
      <w:pPr>
        <w:spacing w:after="0" w:line="0" w:lineRule="atLeast"/>
        <w:ind w:left="0" w:right="-1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7F1EAFD4">
      <w:pPr>
        <w:numPr>
          <w:ilvl w:val="0"/>
          <w:numId w:val="8"/>
        </w:numPr>
        <w:spacing w:after="0" w:line="0" w:lineRule="atLeast"/>
        <w:ind w:right="-1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掌握疏忽的含义和内容；掌握背离的前提条件和负有的责任。</w:t>
      </w:r>
    </w:p>
    <w:p w14:paraId="2ED4450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664E7D2">
      <w:pPr>
        <w:pStyle w:val="11"/>
        <w:numPr>
          <w:ilvl w:val="0"/>
          <w:numId w:val="9"/>
        </w:numPr>
        <w:outlineLvl w:val="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参考书目：</w:t>
      </w:r>
    </w:p>
    <w:p w14:paraId="14B6277B">
      <w:pPr>
        <w:ind w:left="0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《船舶避碰与值班》（第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版）吴兆麟大连海事大学出版社 20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年</w:t>
      </w:r>
    </w:p>
    <w:p w14:paraId="73149A01">
      <w:pPr>
        <w:pStyle w:val="11"/>
        <w:outlineLvl w:val="0"/>
        <w:rPr>
          <w:rFonts w:hint="eastAsia" w:ascii="宋体" w:hAnsi="宋体" w:eastAsia="宋体"/>
          <w:szCs w:val="28"/>
        </w:rPr>
      </w:pPr>
    </w:p>
    <w:p w14:paraId="6EB60903">
      <w:pPr>
        <w:pStyle w:val="11"/>
        <w:outlineLvl w:val="0"/>
        <w:rPr>
          <w:rFonts w:hint="eastAsia" w:ascii="宋体" w:hAnsi="宋体" w:eastAsia="宋体"/>
          <w:szCs w:val="28"/>
        </w:rPr>
      </w:pPr>
    </w:p>
    <w:p w14:paraId="326683DE">
      <w:pPr>
        <w:rPr>
          <w:rFonts w:hint="eastAsia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94A37"/>
    <w:multiLevelType w:val="multilevel"/>
    <w:tmpl w:val="14094A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1C4974"/>
    <w:multiLevelType w:val="multilevel"/>
    <w:tmpl w:val="1B1C497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3D61AF"/>
    <w:multiLevelType w:val="multilevel"/>
    <w:tmpl w:val="3E3D61A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563823"/>
    <w:multiLevelType w:val="multilevel"/>
    <w:tmpl w:val="3E563823"/>
    <w:lvl w:ilvl="0" w:tentative="0">
      <w:start w:val="1"/>
      <w:numFmt w:val="bullet"/>
      <w:lvlText w:val=""/>
      <w:lvlJc w:val="left"/>
      <w:pPr>
        <w:tabs>
          <w:tab w:val="left" w:pos="540"/>
        </w:tabs>
        <w:ind w:left="5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abstractNum w:abstractNumId="4">
    <w:nsid w:val="419418CB"/>
    <w:multiLevelType w:val="multilevel"/>
    <w:tmpl w:val="419418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E40923"/>
    <w:multiLevelType w:val="multilevel"/>
    <w:tmpl w:val="50E4092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347B14"/>
    <w:multiLevelType w:val="multilevel"/>
    <w:tmpl w:val="55347B1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7">
    <w:nsid w:val="66650D9E"/>
    <w:multiLevelType w:val="multilevel"/>
    <w:tmpl w:val="66650D9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3E7269"/>
    <w:multiLevelType w:val="multilevel"/>
    <w:tmpl w:val="733E726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F41"/>
    <w:rsid w:val="00063C51"/>
    <w:rsid w:val="00077C1E"/>
    <w:rsid w:val="000B2990"/>
    <w:rsid w:val="000F6FC8"/>
    <w:rsid w:val="0012390D"/>
    <w:rsid w:val="002576AC"/>
    <w:rsid w:val="003B1F48"/>
    <w:rsid w:val="003C5A89"/>
    <w:rsid w:val="00403385"/>
    <w:rsid w:val="004173AB"/>
    <w:rsid w:val="0045209B"/>
    <w:rsid w:val="005F6A43"/>
    <w:rsid w:val="006049C3"/>
    <w:rsid w:val="00644069"/>
    <w:rsid w:val="006555FE"/>
    <w:rsid w:val="007C5AD5"/>
    <w:rsid w:val="00812FB1"/>
    <w:rsid w:val="008F0A10"/>
    <w:rsid w:val="00911085"/>
    <w:rsid w:val="00917691"/>
    <w:rsid w:val="00944DEE"/>
    <w:rsid w:val="0094690F"/>
    <w:rsid w:val="00A2634C"/>
    <w:rsid w:val="00AD542D"/>
    <w:rsid w:val="00B62C14"/>
    <w:rsid w:val="00BC3C23"/>
    <w:rsid w:val="00BD0D20"/>
    <w:rsid w:val="00BD40FA"/>
    <w:rsid w:val="00BE2C98"/>
    <w:rsid w:val="00CB3A07"/>
    <w:rsid w:val="00DD1C4E"/>
    <w:rsid w:val="00E119E7"/>
    <w:rsid w:val="00E4489A"/>
    <w:rsid w:val="00E65C6E"/>
    <w:rsid w:val="00E75911"/>
    <w:rsid w:val="00F45944"/>
    <w:rsid w:val="00FC4652"/>
    <w:rsid w:val="00FF1011"/>
    <w:rsid w:val="20BF5B64"/>
    <w:rsid w:val="630F21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Document Map"/>
    <w:basedOn w:val="1"/>
    <w:link w:val="15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0">
    <w:name w:val="样式1 Char"/>
    <w:link w:val="11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1">
    <w:name w:val="样式1"/>
    <w:basedOn w:val="1"/>
    <w:link w:val="10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12">
    <w:name w:val="页脚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3">
    <w:name w:val="Placeholder Text"/>
    <w:semiHidden/>
    <w:uiPriority w:val="99"/>
    <w:rPr>
      <w:color w:val="808080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文档结构图 Char"/>
    <w:link w:val="3"/>
    <w:semiHidden/>
    <w:uiPriority w:val="0"/>
    <w:rPr>
      <w:rFonts w:ascii="宋体" w:hAnsi="宋体" w:cs="宋体"/>
      <w:color w:val="000000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231</Words>
  <Characters>1319</Characters>
  <Lines>10</Lines>
  <Paragraphs>3</Paragraphs>
  <TotalTime>0</TotalTime>
  <ScaleCrop>false</ScaleCrop>
  <LinksUpToDate>false</LinksUpToDate>
  <CharactersWithSpaces>1547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2014-08-26T02:12:00Z</dcterms:created>
  <dc:creator>Lenovo User</dc:creator>
  <cp:lastModifiedBy>vertesyuan</cp:lastModifiedBy>
  <dcterms:modified xsi:type="dcterms:W3CDTF">2024-10-10T06:27:40Z</dcterms:modified>
  <dc:title>2014年数学考研大纲(数学一)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9A3328B1FEE448A69EE1A233359DEC54_13</vt:lpwstr>
  </property>
</Properties>
</file>