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2024-07-30T10:44:29Z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2024-09-24T10:19:19</vt:filetime>
  </property>
</Properties>
</file>