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4"/>
        <w:spacing w:before="318" w:line="224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2"/>
        </w:rPr>
        <w:t>昆明理工大学硕士研究生入学考试《</w:t>
      </w:r>
      <w:r>
        <w:rPr>
          <w:rFonts w:ascii="SimSun" w:hAnsi="SimSun" w:eastAsia="SimSun" w:cs="SimSun"/>
          <w:sz w:val="31"/>
          <w:szCs w:val="31"/>
          <w:b/>
          <w:bCs/>
          <w:spacing w:val="-2"/>
        </w:rPr>
        <w:t>无机化学</w:t>
      </w:r>
      <w:r>
        <w:rPr>
          <w:rFonts w:ascii="SimSun" w:hAnsi="SimSun" w:eastAsia="SimSun" w:cs="SimSun"/>
          <w:sz w:val="30"/>
          <w:szCs w:val="30"/>
          <w:b/>
          <w:bCs/>
          <w:spacing w:val="-2"/>
        </w:rPr>
        <w:t>》（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619</w:t>
      </w: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）考试</w:t>
      </w:r>
    </w:p>
    <w:p>
      <w:pPr>
        <w:ind w:left="3881"/>
        <w:spacing w:before="257" w:line="220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11"/>
        </w:rPr>
        <w:t>大纲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ind w:left="579"/>
        <w:spacing w:before="259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一、试卷满分及考试时间</w:t>
      </w:r>
    </w:p>
    <w:p>
      <w:pPr>
        <w:ind w:left="445"/>
        <w:spacing w:before="153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试卷满分为</w:t>
      </w:r>
      <w:r>
        <w:rPr>
          <w:rFonts w:ascii="SimSun" w:hAnsi="SimSun" w:eastAsia="SimSun" w:cs="SimSun"/>
          <w:sz w:val="28"/>
          <w:szCs w:val="28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150 </w:t>
      </w:r>
      <w:r>
        <w:rPr>
          <w:rFonts w:ascii="SimSun" w:hAnsi="SimSun" w:eastAsia="SimSun" w:cs="SimSun"/>
          <w:sz w:val="28"/>
          <w:szCs w:val="28"/>
          <w:spacing w:val="-3"/>
        </w:rPr>
        <w:t>分，考试时间为</w:t>
      </w:r>
      <w:r>
        <w:rPr>
          <w:rFonts w:ascii="SimSun" w:hAnsi="SimSun" w:eastAsia="SimSun" w:cs="SimSun"/>
          <w:sz w:val="28"/>
          <w:szCs w:val="28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180 </w:t>
      </w:r>
      <w:r>
        <w:rPr>
          <w:rFonts w:ascii="SimSun" w:hAnsi="SimSun" w:eastAsia="SimSun" w:cs="SimSun"/>
          <w:sz w:val="28"/>
          <w:szCs w:val="28"/>
          <w:spacing w:val="-3"/>
        </w:rPr>
        <w:t>分钟。</w:t>
      </w:r>
    </w:p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7324" w:type="dxa"/>
        <w:tblInd w:w="44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320"/>
        <w:gridCol w:w="2004"/>
      </w:tblGrid>
      <w:tr>
        <w:trPr>
          <w:trHeight w:val="360" w:hRule="atLeast"/>
        </w:trPr>
        <w:tc>
          <w:tcPr>
            <w:tcW w:w="5320" w:type="dxa"/>
            <w:vAlign w:val="top"/>
          </w:tcPr>
          <w:p>
            <w:pPr>
              <w:pStyle w:val="TableText"/>
              <w:ind w:left="134"/>
              <w:spacing w:before="1" w:line="220" w:lineRule="auto"/>
              <w:rPr/>
            </w:pPr>
            <w:r>
              <w:rPr>
                <w:b/>
                <w:bCs/>
                <w:spacing w:val="-5"/>
              </w:rPr>
              <w:t>二、答题方式</w:t>
            </w: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5320" w:type="dxa"/>
            <w:vAlign w:val="top"/>
          </w:tcPr>
          <w:p>
            <w:pPr>
              <w:pStyle w:val="TableText"/>
              <w:spacing w:before="78" w:line="221" w:lineRule="auto"/>
              <w:rPr/>
            </w:pPr>
            <w:r>
              <w:rPr>
                <w:spacing w:val="-1"/>
              </w:rPr>
              <w:t>答题方式为闭卷、笔试。</w:t>
            </w: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5320" w:type="dxa"/>
            <w:vAlign w:val="top"/>
          </w:tcPr>
          <w:p>
            <w:pPr>
              <w:pStyle w:val="TableText"/>
              <w:ind w:left="129"/>
              <w:spacing w:before="80" w:line="220" w:lineRule="auto"/>
              <w:rPr/>
            </w:pPr>
            <w:r>
              <w:rPr>
                <w:b/>
                <w:bCs/>
                <w:spacing w:val="-4"/>
              </w:rPr>
              <w:t>三、试卷内容结构</w:t>
            </w:r>
          </w:p>
        </w:tc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5320" w:type="dxa"/>
            <w:vAlign w:val="top"/>
          </w:tcPr>
          <w:p>
            <w:pPr>
              <w:pStyle w:val="TableText"/>
              <w:ind w:left="161"/>
              <w:spacing w:before="102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4"/>
              </w:rPr>
              <w:t>、原子结构、分子结构及化学键</w:t>
            </w:r>
            <w:r>
              <w:rPr>
                <w:b/>
                <w:bCs/>
                <w:spacing w:val="-4"/>
              </w:rPr>
              <w:t>部分</w:t>
            </w:r>
          </w:p>
        </w:tc>
        <w:tc>
          <w:tcPr>
            <w:tcW w:w="2004" w:type="dxa"/>
            <w:vAlign w:val="top"/>
          </w:tcPr>
          <w:p>
            <w:pPr>
              <w:pStyle w:val="TableText"/>
              <w:spacing w:before="103" w:line="221" w:lineRule="auto"/>
              <w:jc w:val="right"/>
              <w:rPr/>
            </w:pPr>
            <w:r>
              <w:rPr>
                <w:spacing w:val="-15"/>
              </w:rPr>
              <w:t>约占</w:t>
            </w:r>
            <w:r>
              <w:rPr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15%</w:t>
            </w:r>
            <w:r>
              <w:rPr>
                <w:spacing w:val="-15"/>
              </w:rPr>
              <w:t>。</w:t>
            </w:r>
          </w:p>
        </w:tc>
      </w:tr>
      <w:tr>
        <w:trPr>
          <w:trHeight w:val="500" w:hRule="atLeast"/>
        </w:trPr>
        <w:tc>
          <w:tcPr>
            <w:tcW w:w="5320" w:type="dxa"/>
            <w:vAlign w:val="top"/>
          </w:tcPr>
          <w:p>
            <w:pPr>
              <w:pStyle w:val="TableText"/>
              <w:ind w:left="134"/>
              <w:spacing w:before="109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3"/>
              </w:rPr>
              <w:t>、化学热力学与化学反应的速率</w:t>
            </w:r>
            <w:r>
              <w:rPr>
                <w:b/>
                <w:bCs/>
                <w:spacing w:val="-3"/>
              </w:rPr>
              <w:t>部分</w:t>
            </w:r>
          </w:p>
        </w:tc>
        <w:tc>
          <w:tcPr>
            <w:tcW w:w="2004" w:type="dxa"/>
            <w:vAlign w:val="top"/>
          </w:tcPr>
          <w:p>
            <w:pPr>
              <w:pStyle w:val="TableText"/>
              <w:spacing w:before="109" w:line="221" w:lineRule="auto"/>
              <w:jc w:val="right"/>
              <w:rPr/>
            </w:pPr>
            <w:r>
              <w:rPr>
                <w:spacing w:val="-36"/>
              </w:rPr>
              <w:t>约占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>15%</w:t>
            </w:r>
            <w:r>
              <w:rPr>
                <w:spacing w:val="-36"/>
              </w:rPr>
              <w:t>。</w:t>
            </w:r>
          </w:p>
        </w:tc>
      </w:tr>
      <w:tr>
        <w:trPr>
          <w:trHeight w:val="500" w:hRule="atLeast"/>
        </w:trPr>
        <w:tc>
          <w:tcPr>
            <w:tcW w:w="5320" w:type="dxa"/>
            <w:vAlign w:val="top"/>
          </w:tcPr>
          <w:p>
            <w:pPr>
              <w:pStyle w:val="TableText"/>
              <w:ind w:left="139"/>
              <w:spacing w:before="110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-6"/>
              </w:rPr>
              <w:t>、化学平衡</w:t>
            </w:r>
            <w:r>
              <w:rPr>
                <w:b/>
                <w:bCs/>
                <w:spacing w:val="-6"/>
              </w:rPr>
              <w:t>部分</w:t>
            </w:r>
          </w:p>
        </w:tc>
        <w:tc>
          <w:tcPr>
            <w:tcW w:w="2004" w:type="dxa"/>
            <w:vAlign w:val="top"/>
          </w:tcPr>
          <w:p>
            <w:pPr>
              <w:pStyle w:val="TableText"/>
              <w:spacing w:before="111" w:line="221" w:lineRule="auto"/>
              <w:jc w:val="right"/>
              <w:rPr/>
            </w:pPr>
            <w:r>
              <w:rPr>
                <w:spacing w:val="-15"/>
              </w:rPr>
              <w:t>约占</w:t>
            </w:r>
            <w:r>
              <w:rPr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15%</w:t>
            </w:r>
            <w:r>
              <w:rPr>
                <w:spacing w:val="-15"/>
              </w:rPr>
              <w:t>。</w:t>
            </w:r>
          </w:p>
        </w:tc>
      </w:tr>
      <w:tr>
        <w:trPr>
          <w:trHeight w:val="499" w:hRule="atLeast"/>
        </w:trPr>
        <w:tc>
          <w:tcPr>
            <w:tcW w:w="5320" w:type="dxa"/>
            <w:vAlign w:val="top"/>
          </w:tcPr>
          <w:p>
            <w:pPr>
              <w:pStyle w:val="TableText"/>
              <w:ind w:left="132"/>
              <w:spacing w:before="109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-4"/>
              </w:rPr>
              <w:t>、物质的状态及溶液</w:t>
            </w:r>
            <w:r>
              <w:rPr>
                <w:b/>
                <w:bCs/>
                <w:spacing w:val="-4"/>
              </w:rPr>
              <w:t>部分</w:t>
            </w:r>
          </w:p>
        </w:tc>
        <w:tc>
          <w:tcPr>
            <w:tcW w:w="2004" w:type="dxa"/>
            <w:vAlign w:val="top"/>
          </w:tcPr>
          <w:p>
            <w:pPr>
              <w:pStyle w:val="TableText"/>
              <w:spacing w:before="110" w:line="221" w:lineRule="auto"/>
              <w:jc w:val="right"/>
              <w:rPr/>
            </w:pPr>
            <w:r>
              <w:rPr>
                <w:spacing w:val="-36"/>
              </w:rPr>
              <w:t>约占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>10%</w:t>
            </w:r>
            <w:r>
              <w:rPr>
                <w:spacing w:val="-36"/>
              </w:rPr>
              <w:t>。</w:t>
            </w:r>
          </w:p>
        </w:tc>
      </w:tr>
      <w:tr>
        <w:trPr>
          <w:trHeight w:val="500" w:hRule="atLeast"/>
        </w:trPr>
        <w:tc>
          <w:tcPr>
            <w:tcW w:w="5320" w:type="dxa"/>
            <w:vAlign w:val="top"/>
          </w:tcPr>
          <w:p>
            <w:pPr>
              <w:pStyle w:val="TableText"/>
              <w:ind w:left="141"/>
              <w:spacing w:before="110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-5"/>
              </w:rPr>
              <w:t>、氧化还原反应</w:t>
            </w:r>
            <w:r>
              <w:rPr>
                <w:b/>
                <w:bCs/>
                <w:spacing w:val="-5"/>
              </w:rPr>
              <w:t>部分</w:t>
            </w:r>
          </w:p>
        </w:tc>
        <w:tc>
          <w:tcPr>
            <w:tcW w:w="2004" w:type="dxa"/>
            <w:vAlign w:val="top"/>
          </w:tcPr>
          <w:p>
            <w:pPr>
              <w:pStyle w:val="TableText"/>
              <w:spacing w:before="110" w:line="221" w:lineRule="auto"/>
              <w:jc w:val="right"/>
              <w:rPr/>
            </w:pPr>
            <w:r>
              <w:rPr>
                <w:spacing w:val="-29"/>
              </w:rPr>
              <w:t>约占 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>20%</w:t>
            </w:r>
            <w:r>
              <w:rPr>
                <w:spacing w:val="-29"/>
              </w:rPr>
              <w:t>。</w:t>
            </w:r>
          </w:p>
        </w:tc>
      </w:tr>
      <w:tr>
        <w:trPr>
          <w:trHeight w:val="501" w:hRule="atLeast"/>
        </w:trPr>
        <w:tc>
          <w:tcPr>
            <w:tcW w:w="5320" w:type="dxa"/>
            <w:vAlign w:val="top"/>
          </w:tcPr>
          <w:p>
            <w:pPr>
              <w:pStyle w:val="TableText"/>
              <w:ind w:left="140"/>
              <w:spacing w:before="111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6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-6"/>
              </w:rPr>
              <w:t>、配位化合物</w:t>
            </w:r>
            <w:r>
              <w:rPr>
                <w:b/>
                <w:bCs/>
                <w:spacing w:val="-6"/>
              </w:rPr>
              <w:t>部分</w:t>
            </w:r>
          </w:p>
        </w:tc>
        <w:tc>
          <w:tcPr>
            <w:tcW w:w="2004" w:type="dxa"/>
            <w:vAlign w:val="top"/>
          </w:tcPr>
          <w:p>
            <w:pPr>
              <w:pStyle w:val="TableText"/>
              <w:spacing w:before="112" w:line="221" w:lineRule="auto"/>
              <w:jc w:val="right"/>
              <w:rPr/>
            </w:pPr>
            <w:r>
              <w:rPr>
                <w:spacing w:val="-36"/>
              </w:rPr>
              <w:t>约占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>10%</w:t>
            </w:r>
            <w:r>
              <w:rPr>
                <w:spacing w:val="-36"/>
              </w:rPr>
              <w:t>。</w:t>
            </w:r>
          </w:p>
        </w:tc>
      </w:tr>
      <w:tr>
        <w:trPr>
          <w:trHeight w:val="390" w:hRule="atLeast"/>
        </w:trPr>
        <w:tc>
          <w:tcPr>
            <w:tcW w:w="5320" w:type="dxa"/>
            <w:vAlign w:val="top"/>
          </w:tcPr>
          <w:p>
            <w:pPr>
              <w:pStyle w:val="TableText"/>
              <w:ind w:left="138"/>
              <w:spacing w:before="110" w:line="178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-8"/>
              </w:rPr>
              <w:t>、元素</w:t>
            </w:r>
            <w:r>
              <w:rPr>
                <w:b/>
                <w:bCs/>
                <w:spacing w:val="-8"/>
              </w:rPr>
              <w:t>部分</w:t>
            </w:r>
          </w:p>
        </w:tc>
        <w:tc>
          <w:tcPr>
            <w:tcW w:w="2004" w:type="dxa"/>
            <w:vAlign w:val="top"/>
          </w:tcPr>
          <w:p>
            <w:pPr>
              <w:pStyle w:val="TableText"/>
              <w:spacing w:before="110" w:line="178" w:lineRule="auto"/>
              <w:jc w:val="right"/>
              <w:rPr/>
            </w:pPr>
            <w:r>
              <w:rPr>
                <w:spacing w:val="-15"/>
              </w:rPr>
              <w:t>约占</w:t>
            </w:r>
            <w:r>
              <w:rPr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15%</w:t>
            </w:r>
            <w:r>
              <w:rPr>
                <w:spacing w:val="-15"/>
              </w:rPr>
              <w:t>。</w:t>
            </w:r>
          </w:p>
        </w:tc>
      </w:tr>
    </w:tbl>
    <w:p>
      <w:pPr>
        <w:spacing w:before="65"/>
        <w:rPr/>
      </w:pPr>
      <w:r/>
    </w:p>
    <w:p>
      <w:pPr>
        <w:spacing w:before="64"/>
        <w:rPr/>
      </w:pPr>
      <w:r/>
    </w:p>
    <w:tbl>
      <w:tblPr>
        <w:tblStyle w:val="TableNormal"/>
        <w:tblW w:w="5449" w:type="dxa"/>
        <w:tblInd w:w="44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847"/>
        <w:gridCol w:w="1602"/>
      </w:tblGrid>
      <w:tr>
        <w:trPr>
          <w:trHeight w:val="360" w:hRule="atLeast"/>
        </w:trPr>
        <w:tc>
          <w:tcPr>
            <w:tcW w:w="3847" w:type="dxa"/>
            <w:vAlign w:val="top"/>
          </w:tcPr>
          <w:p>
            <w:pPr>
              <w:pStyle w:val="TableText"/>
              <w:ind w:left="156"/>
              <w:spacing w:before="1" w:line="220" w:lineRule="auto"/>
              <w:rPr/>
            </w:pPr>
            <w:r>
              <w:rPr>
                <w:b/>
                <w:bCs/>
                <w:spacing w:val="-7"/>
              </w:rPr>
              <w:t>四、试卷题型结构</w:t>
            </w:r>
          </w:p>
        </w:tc>
        <w:tc>
          <w:tcPr>
            <w:tcW w:w="1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3847" w:type="dxa"/>
            <w:vAlign w:val="top"/>
          </w:tcPr>
          <w:p>
            <w:pPr>
              <w:pStyle w:val="TableText"/>
              <w:spacing w:before="78" w:line="221" w:lineRule="auto"/>
              <w:rPr/>
            </w:pPr>
            <w:r>
              <w:rPr>
                <w:spacing w:val="-2"/>
              </w:rPr>
              <w:t>试卷题型结构为：</w:t>
            </w:r>
          </w:p>
        </w:tc>
        <w:tc>
          <w:tcPr>
            <w:tcW w:w="1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4" w:hRule="atLeast"/>
        </w:trPr>
        <w:tc>
          <w:tcPr>
            <w:tcW w:w="3847" w:type="dxa"/>
            <w:vAlign w:val="top"/>
          </w:tcPr>
          <w:p>
            <w:pPr>
              <w:pStyle w:val="TableText"/>
              <w:ind w:left="138"/>
              <w:spacing w:before="104" w:line="221" w:lineRule="auto"/>
              <w:rPr/>
            </w:pPr>
            <w:r>
              <w:rPr>
                <w:spacing w:val="-5"/>
              </w:rPr>
              <w:t>选择</w:t>
            </w:r>
          </w:p>
        </w:tc>
        <w:tc>
          <w:tcPr>
            <w:tcW w:w="1602" w:type="dxa"/>
            <w:vAlign w:val="top"/>
          </w:tcPr>
          <w:p>
            <w:pPr>
              <w:pStyle w:val="TableText"/>
              <w:spacing w:before="102" w:line="221" w:lineRule="auto"/>
              <w:jc w:val="right"/>
              <w:rPr/>
            </w:pPr>
            <w:r>
              <w:rPr>
                <w:spacing w:val="-9"/>
              </w:rPr>
              <w:t>约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40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</w:tr>
      <w:tr>
        <w:trPr>
          <w:trHeight w:val="500" w:hRule="atLeast"/>
        </w:trPr>
        <w:tc>
          <w:tcPr>
            <w:tcW w:w="3847" w:type="dxa"/>
            <w:vAlign w:val="top"/>
          </w:tcPr>
          <w:p>
            <w:pPr>
              <w:pStyle w:val="TableText"/>
              <w:ind w:left="2"/>
              <w:spacing w:before="110" w:line="221" w:lineRule="auto"/>
              <w:rPr/>
            </w:pPr>
            <w:r>
              <w:rPr>
                <w:spacing w:val="-6"/>
              </w:rPr>
              <w:t>填空</w:t>
            </w:r>
          </w:p>
        </w:tc>
        <w:tc>
          <w:tcPr>
            <w:tcW w:w="1602" w:type="dxa"/>
            <w:vAlign w:val="top"/>
          </w:tcPr>
          <w:p>
            <w:pPr>
              <w:pStyle w:val="TableText"/>
              <w:spacing w:before="110" w:line="221" w:lineRule="auto"/>
              <w:jc w:val="right"/>
              <w:rPr/>
            </w:pPr>
            <w:r>
              <w:rPr>
                <w:spacing w:val="-9"/>
              </w:rPr>
              <w:t>约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</w:tr>
      <w:tr>
        <w:trPr>
          <w:trHeight w:val="499" w:hRule="atLeast"/>
        </w:trPr>
        <w:tc>
          <w:tcPr>
            <w:tcW w:w="3847" w:type="dxa"/>
            <w:vAlign w:val="top"/>
          </w:tcPr>
          <w:p>
            <w:pPr>
              <w:pStyle w:val="TableText"/>
              <w:ind w:left="31"/>
              <w:spacing w:before="110" w:line="220" w:lineRule="auto"/>
              <w:rPr/>
            </w:pPr>
            <w:r>
              <w:rPr>
                <w:spacing w:val="-4"/>
              </w:rPr>
              <w:t>问答题（含实验推断题）</w:t>
            </w:r>
          </w:p>
        </w:tc>
        <w:tc>
          <w:tcPr>
            <w:tcW w:w="1602" w:type="dxa"/>
            <w:vAlign w:val="top"/>
          </w:tcPr>
          <w:p>
            <w:pPr>
              <w:pStyle w:val="TableText"/>
              <w:ind w:left="498"/>
              <w:spacing w:before="109" w:line="221" w:lineRule="auto"/>
              <w:rPr/>
            </w:pPr>
            <w:r>
              <w:rPr>
                <w:spacing w:val="-5"/>
              </w:rPr>
              <w:t>约</w:t>
            </w:r>
            <w:r>
              <w:rPr>
                <w:spacing w:val="-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</w:tr>
      <w:tr>
        <w:trPr>
          <w:trHeight w:val="500" w:hRule="atLeast"/>
        </w:trPr>
        <w:tc>
          <w:tcPr>
            <w:tcW w:w="3847" w:type="dxa"/>
            <w:vAlign w:val="top"/>
          </w:tcPr>
          <w:p>
            <w:pPr>
              <w:pStyle w:val="TableText"/>
              <w:ind w:left="2"/>
              <w:spacing w:before="110" w:line="220" w:lineRule="auto"/>
              <w:rPr/>
            </w:pPr>
            <w:r>
              <w:rPr>
                <w:spacing w:val="-1"/>
              </w:rPr>
              <w:t>完成并配平化学反应方程式</w:t>
            </w:r>
          </w:p>
        </w:tc>
        <w:tc>
          <w:tcPr>
            <w:tcW w:w="1602" w:type="dxa"/>
            <w:vAlign w:val="top"/>
          </w:tcPr>
          <w:p>
            <w:pPr>
              <w:pStyle w:val="TableText"/>
              <w:ind w:left="498"/>
              <w:spacing w:before="109" w:line="221" w:lineRule="auto"/>
              <w:rPr/>
            </w:pPr>
            <w:r>
              <w:rPr>
                <w:spacing w:val="-9"/>
              </w:rPr>
              <w:t>约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9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spacing w:val="-9"/>
              </w:rPr>
              <w:t>分</w:t>
            </w:r>
          </w:p>
        </w:tc>
      </w:tr>
      <w:tr>
        <w:trPr>
          <w:trHeight w:val="501" w:hRule="atLeast"/>
        </w:trPr>
        <w:tc>
          <w:tcPr>
            <w:tcW w:w="3847" w:type="dxa"/>
            <w:vAlign w:val="top"/>
          </w:tcPr>
          <w:p>
            <w:pPr>
              <w:pStyle w:val="TableText"/>
              <w:spacing w:before="111" w:line="220" w:lineRule="auto"/>
              <w:rPr/>
            </w:pPr>
            <w:r>
              <w:rPr>
                <w:spacing w:val="-4"/>
              </w:rPr>
              <w:t>计算题</w:t>
            </w:r>
          </w:p>
        </w:tc>
        <w:tc>
          <w:tcPr>
            <w:tcW w:w="1602" w:type="dxa"/>
            <w:vAlign w:val="top"/>
          </w:tcPr>
          <w:p>
            <w:pPr>
              <w:pStyle w:val="TableText"/>
              <w:ind w:left="498"/>
              <w:spacing w:before="111" w:line="221" w:lineRule="auto"/>
              <w:rPr/>
            </w:pPr>
            <w:r>
              <w:rPr>
                <w:spacing w:val="-6"/>
              </w:rPr>
              <w:t>约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40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3"/>
              </w:rPr>
              <w:t xml:space="preserve"> </w:t>
            </w:r>
            <w:r>
              <w:rPr>
                <w:spacing w:val="-6"/>
              </w:rPr>
              <w:t>分</w:t>
            </w:r>
          </w:p>
        </w:tc>
      </w:tr>
      <w:tr>
        <w:trPr>
          <w:trHeight w:val="390" w:hRule="atLeast"/>
        </w:trPr>
        <w:tc>
          <w:tcPr>
            <w:tcW w:w="3847" w:type="dxa"/>
            <w:vAlign w:val="top"/>
          </w:tcPr>
          <w:p>
            <w:pPr>
              <w:pStyle w:val="TableText"/>
              <w:ind w:left="1"/>
              <w:spacing w:before="110" w:line="178" w:lineRule="auto"/>
              <w:rPr/>
            </w:pPr>
            <w:r>
              <w:rPr>
                <w:spacing w:val="-7"/>
              </w:rPr>
              <w:t>合计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150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7"/>
              </w:rPr>
              <w:t>分</w:t>
            </w:r>
          </w:p>
        </w:tc>
        <w:tc>
          <w:tcPr>
            <w:tcW w:w="16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66" w:lineRule="auto"/>
        <w:rPr>
          <w:rFonts w:ascii="Arial"/>
          <w:sz w:val="21"/>
        </w:rPr>
      </w:pPr>
      <w:r/>
    </w:p>
    <w:p>
      <w:pPr>
        <w:ind w:left="235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49"/>
        <w:spacing w:before="153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-7"/>
        </w:rPr>
        <w:t>、物质的聚集状态：</w:t>
      </w:r>
    </w:p>
    <w:p>
      <w:pPr>
        <w:pStyle w:val="BodyText"/>
        <w:ind w:left="25" w:right="16" w:firstLine="601"/>
        <w:spacing w:before="269" w:line="375" w:lineRule="auto"/>
        <w:rPr/>
      </w:pPr>
      <w:r>
        <w:rPr>
          <w:spacing w:val="7"/>
        </w:rPr>
        <w:t>气体、理想气体状态方程式、气体分压定律、气体扩散定</w:t>
      </w:r>
      <w:r>
        <w:rPr>
          <w:spacing w:val="15"/>
        </w:rPr>
        <w:t xml:space="preserve"> </w:t>
      </w:r>
      <w:r>
        <w:rPr>
          <w:spacing w:val="7"/>
        </w:rPr>
        <w:t>律、气体分子的速率分布和能量分布、实际气体状态方程式、</w:t>
      </w:r>
      <w:r>
        <w:rPr>
          <w:spacing w:val="2"/>
        </w:rPr>
        <w:t xml:space="preserve"> </w:t>
      </w:r>
      <w:r>
        <w:rPr>
          <w:spacing w:val="-1"/>
        </w:rPr>
        <w:t>液体、气体的液化、液体的汽化、固体。</w:t>
      </w:r>
    </w:p>
    <w:p>
      <w:pPr>
        <w:pStyle w:val="BodyText"/>
        <w:ind w:left="20"/>
        <w:spacing w:before="42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6"/>
        </w:rPr>
        <w:t>、原子结构：</w:t>
      </w:r>
    </w:p>
    <w:p>
      <w:pPr>
        <w:pStyle w:val="BodyText"/>
        <w:ind w:left="25" w:right="13" w:firstLine="603"/>
        <w:spacing w:before="270" w:line="379" w:lineRule="auto"/>
        <w:rPr/>
      </w:pPr>
      <w:r>
        <w:rPr>
          <w:spacing w:val="5"/>
        </w:rPr>
        <w:t>核外电子的运动状态、氢原子光谱、</w:t>
      </w:r>
      <w:r>
        <w:rPr>
          <w:rFonts w:ascii="Times New Roman" w:hAnsi="Times New Roman" w:eastAsia="Times New Roman" w:cs="Times New Roman"/>
        </w:rPr>
        <w:t>Bohr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原子</w:t>
      </w:r>
      <w:r>
        <w:rPr>
          <w:spacing w:val="4"/>
        </w:rPr>
        <w:t>结构模型、</w:t>
      </w:r>
      <w:r>
        <w:rPr/>
        <w:t xml:space="preserve"> </w:t>
      </w:r>
      <w:r>
        <w:rPr>
          <w:spacing w:val="7"/>
        </w:rPr>
        <w:t>微观粒子具有波粒二象性、测不准原理、波函数和原子轨道、</w:t>
      </w:r>
      <w:r>
        <w:rPr>
          <w:spacing w:val="4"/>
        </w:rPr>
        <w:t xml:space="preserve"> </w:t>
      </w:r>
      <w:r>
        <w:rPr>
          <w:spacing w:val="19"/>
        </w:rPr>
        <w:t>概率密度和电子云、波函数和电子云的空间图像、四个量子</w:t>
      </w:r>
      <w:r>
        <w:rPr/>
        <w:t xml:space="preserve"> </w:t>
      </w:r>
      <w:r>
        <w:rPr>
          <w:spacing w:val="7"/>
        </w:rPr>
        <w:t>数、原子核外电子排布和元素周期系、多电子原子的原子轨道</w:t>
      </w:r>
      <w:r>
        <w:rPr>
          <w:spacing w:val="4"/>
        </w:rPr>
        <w:t xml:space="preserve"> </w:t>
      </w:r>
      <w:r>
        <w:rPr>
          <w:spacing w:val="7"/>
        </w:rPr>
        <w:t>能级、原子核外电子的排布（电子结构）、原子的电子层结构</w:t>
      </w:r>
      <w:r>
        <w:rPr>
          <w:spacing w:val="2"/>
        </w:rPr>
        <w:t xml:space="preserve"> </w:t>
      </w:r>
      <w:r>
        <w:rPr>
          <w:spacing w:val="-1"/>
        </w:rPr>
        <w:t>和元素基本性质的周期性。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98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5"/>
        </w:rPr>
        <w:t>、化学键与分子结构：</w:t>
      </w:r>
    </w:p>
    <w:p>
      <w:pPr>
        <w:pStyle w:val="BodyText"/>
        <w:ind w:left="26" w:right="13" w:firstLine="603"/>
        <w:spacing w:before="267" w:line="375" w:lineRule="auto"/>
        <w:jc w:val="both"/>
        <w:rPr/>
      </w:pPr>
      <w:r>
        <w:rPr>
          <w:spacing w:val="20"/>
        </w:rPr>
        <w:t>离子键、价键理论、杂化轨道理论、价层电子对互斥理</w:t>
      </w:r>
      <w:r>
        <w:rPr>
          <w:spacing w:val="8"/>
        </w:rPr>
        <w:t xml:space="preserve"> </w:t>
      </w:r>
      <w:r>
        <w:rPr>
          <w:spacing w:val="7"/>
        </w:rPr>
        <w:t>论、分子轨道理论、金属键理论、分子间的作用力、氢键、离</w:t>
      </w:r>
      <w:r>
        <w:rPr>
          <w:spacing w:val="1"/>
        </w:rPr>
        <w:t xml:space="preserve"> </w:t>
      </w:r>
      <w:r>
        <w:rPr>
          <w:spacing w:val="-1"/>
        </w:rPr>
        <w:t>子的极化作用。离子晶体、原子晶体。晶体点阵理论。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99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5"/>
        </w:rPr>
        <w:t>、化学热力学：</w:t>
      </w:r>
    </w:p>
    <w:p>
      <w:pPr>
        <w:pStyle w:val="BodyText"/>
        <w:ind w:left="24" w:right="13" w:firstLine="607"/>
        <w:spacing w:before="269" w:line="375" w:lineRule="auto"/>
        <w:jc w:val="both"/>
        <w:rPr/>
      </w:pPr>
      <w:r>
        <w:rPr>
          <w:spacing w:val="7"/>
        </w:rPr>
        <w:t>热力学第一定律、焓、化学反应热效应、反应进度、热力</w:t>
      </w:r>
      <w:r>
        <w:rPr>
          <w:spacing w:val="12"/>
        </w:rPr>
        <w:t xml:space="preserve"> </w:t>
      </w:r>
      <w:r>
        <w:rPr>
          <w:spacing w:val="19"/>
        </w:rPr>
        <w:t>学第二定律、熵、吉布斯自由能和过程自发进行的方向与限</w:t>
      </w:r>
      <w:r>
        <w:rPr/>
        <w:t xml:space="preserve"> </w:t>
      </w:r>
      <w:r>
        <w:rPr>
          <w:spacing w:val="-6"/>
        </w:rPr>
        <w:t>度。</w:t>
      </w:r>
    </w:p>
    <w:p>
      <w:pPr>
        <w:spacing w:line="375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8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5"/>
        </w:rPr>
        <w:t>、化学反应的速率：</w:t>
      </w:r>
    </w:p>
    <w:p>
      <w:pPr>
        <w:pStyle w:val="BodyText"/>
        <w:ind w:left="24" w:right="13" w:firstLine="602"/>
        <w:spacing w:before="268" w:line="370" w:lineRule="auto"/>
        <w:rPr/>
      </w:pPr>
      <w:r>
        <w:rPr>
          <w:spacing w:val="20"/>
        </w:rPr>
        <w:t>反应速率的定义、碰撞理论、过渡态理论、反应速率方</w:t>
      </w:r>
      <w:r>
        <w:rPr>
          <w:spacing w:val="12"/>
        </w:rPr>
        <w:t xml:space="preserve"> </w:t>
      </w:r>
      <w:r>
        <w:rPr>
          <w:spacing w:val="-1"/>
        </w:rPr>
        <w:t>程、浓度、温度、催化剂对化学反应速率的影响。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97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6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7"/>
        </w:rPr>
        <w:t>、化学平衡：</w:t>
      </w:r>
    </w:p>
    <w:p>
      <w:pPr>
        <w:pStyle w:val="BodyText"/>
        <w:ind w:left="50" w:right="16" w:firstLine="576"/>
        <w:spacing w:before="265" w:line="372" w:lineRule="auto"/>
        <w:rPr/>
      </w:pPr>
      <w:r>
        <w:rPr>
          <w:spacing w:val="7"/>
        </w:rPr>
        <w:t>化学反应的可逆性与平衡态、平衡常数、外界因素对平衡</w:t>
      </w:r>
      <w:r>
        <w:rPr>
          <w:spacing w:val="15"/>
        </w:rPr>
        <w:t xml:space="preserve"> </w:t>
      </w:r>
      <w:r>
        <w:rPr>
          <w:spacing w:val="-10"/>
        </w:rPr>
        <w:t>的影响。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9" w:line="220" w:lineRule="auto"/>
        <w:rPr/>
      </w:pP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-44"/>
        </w:rPr>
        <w:t xml:space="preserve"> </w:t>
      </w:r>
      <w:r>
        <w:rPr>
          <w:spacing w:val="-9"/>
        </w:rPr>
        <w:t>、溶液：</w:t>
      </w:r>
    </w:p>
    <w:p>
      <w:pPr>
        <w:pStyle w:val="BodyText"/>
        <w:ind w:left="26" w:right="16" w:firstLine="602"/>
        <w:spacing w:before="263" w:line="378" w:lineRule="auto"/>
        <w:rPr/>
      </w:pPr>
      <w:r>
        <w:rPr>
          <w:spacing w:val="7"/>
        </w:rPr>
        <w:t>溶液浓度的表示方法、非电解质稀溶液的依数性。强电解</w:t>
      </w:r>
      <w:r>
        <w:rPr>
          <w:spacing w:val="12"/>
        </w:rPr>
        <w:t xml:space="preserve"> </w:t>
      </w:r>
      <w:r>
        <w:rPr>
          <w:spacing w:val="7"/>
        </w:rPr>
        <w:t>质溶液理论、弱酸、弱碱的电离平衡、多元弱酸的电离平衡、</w:t>
      </w:r>
      <w:r>
        <w:rPr>
          <w:spacing w:val="1"/>
        </w:rPr>
        <w:t xml:space="preserve"> </w:t>
      </w:r>
      <w:r>
        <w:rPr>
          <w:spacing w:val="7"/>
        </w:rPr>
        <w:t>缓冲溶液、酸碱质子理论、酸碱电离理论、酸碱电子理论、难</w:t>
      </w:r>
      <w:r>
        <w:rPr>
          <w:spacing w:val="1"/>
        </w:rPr>
        <w:t xml:space="preserve"> </w:t>
      </w:r>
      <w:r>
        <w:rPr>
          <w:spacing w:val="-1"/>
        </w:rPr>
        <w:t>溶性强电解质的沉淀溶解平衡。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98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8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6"/>
        </w:rPr>
        <w:t>、氧化还原反应：</w:t>
      </w:r>
    </w:p>
    <w:p>
      <w:pPr>
        <w:pStyle w:val="BodyText"/>
        <w:ind w:left="10" w:right="16" w:firstLine="616"/>
        <w:spacing w:before="270" w:line="377" w:lineRule="auto"/>
        <w:rPr/>
      </w:pPr>
      <w:r>
        <w:rPr>
          <w:spacing w:val="7"/>
        </w:rPr>
        <w:t>氧化还原反应及其特征、氧化还原方程式的配平、原电池</w:t>
      </w:r>
      <w:r>
        <w:rPr>
          <w:spacing w:val="15"/>
        </w:rPr>
        <w:t xml:space="preserve"> </w:t>
      </w:r>
      <w:r>
        <w:rPr>
          <w:spacing w:val="17"/>
        </w:rPr>
        <w:t>与电极电势、</w:t>
      </w:r>
      <w:r>
        <w:rPr>
          <w:spacing w:val="-84"/>
        </w:rPr>
        <w:t xml:space="preserve"> </w:t>
      </w:r>
      <w:r>
        <w:rPr>
          <w:spacing w:val="17"/>
        </w:rPr>
        <w:t>电池电动势和化学反应吉布斯自由能的关</w:t>
      </w:r>
      <w:r>
        <w:rPr>
          <w:spacing w:val="16"/>
        </w:rPr>
        <w:t>系、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Nernst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18"/>
        </w:rPr>
        <w:t>方程、</w:t>
      </w:r>
      <w:r>
        <w:rPr>
          <w:spacing w:val="-79"/>
        </w:rPr>
        <w:t xml:space="preserve"> </w:t>
      </w:r>
      <w:r>
        <w:rPr>
          <w:spacing w:val="18"/>
        </w:rPr>
        <w:t>电极电势的应用、元素电势图及应用、氧化态</w:t>
      </w:r>
      <w:r>
        <w:rPr/>
        <w:t xml:space="preserve"> </w:t>
      </w:r>
      <w:r>
        <w:rPr>
          <w:spacing w:val="-4"/>
        </w:rPr>
        <w:t>图、电势</w:t>
      </w:r>
      <w:r>
        <w:rPr>
          <w:rFonts w:ascii="Times New Roman" w:hAnsi="Times New Roman" w:eastAsia="Times New Roman" w:cs="Times New Roman"/>
          <w:spacing w:val="-4"/>
        </w:rPr>
        <w:t>-pH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-4"/>
        </w:rPr>
        <w:t>图。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98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9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6"/>
        </w:rPr>
        <w:t>、配位化合物：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6" w:right="13" w:firstLine="598"/>
        <w:spacing w:before="173" w:line="375" w:lineRule="auto"/>
        <w:jc w:val="both"/>
        <w:rPr/>
      </w:pPr>
      <w:r>
        <w:rPr>
          <w:spacing w:val="7"/>
        </w:rPr>
        <w:t>配位化合物的基本概念（定义、组成、命名、类型）、配</w:t>
      </w:r>
      <w:r>
        <w:rPr>
          <w:spacing w:val="18"/>
        </w:rPr>
        <w:t xml:space="preserve"> </w:t>
      </w:r>
      <w:r>
        <w:rPr>
          <w:spacing w:val="7"/>
        </w:rPr>
        <w:t>合物的立体构型和几何异构、配位化合物的化学键理论（价键</w:t>
      </w:r>
      <w:r>
        <w:rPr/>
        <w:t xml:space="preserve"> </w:t>
      </w:r>
      <w:r>
        <w:rPr>
          <w:spacing w:val="-1"/>
        </w:rPr>
        <w:t>理论、晶体场理论）、配位平衡的移动。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98" w:line="219" w:lineRule="auto"/>
        <w:rPr/>
      </w:pPr>
      <w:r>
        <w:rPr>
          <w:rFonts w:ascii="Times New Roman" w:hAnsi="Times New Roman" w:eastAsia="Times New Roman" w:cs="Times New Roman"/>
          <w:spacing w:val="-12"/>
        </w:rPr>
        <w:t>10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12"/>
        </w:rPr>
        <w:t>、元素：</w:t>
      </w:r>
    </w:p>
    <w:p>
      <w:pPr>
        <w:pStyle w:val="BodyText"/>
        <w:ind w:left="24" w:right="16" w:firstLine="601"/>
        <w:spacing w:before="268" w:line="375" w:lineRule="auto"/>
        <w:rPr/>
      </w:pPr>
      <w:r>
        <w:rPr>
          <w:spacing w:val="20"/>
        </w:rPr>
        <w:t>氢与稀有气体、碱金属和碱土金属、硼族元素、碳族元</w:t>
      </w:r>
      <w:r>
        <w:rPr>
          <w:spacing w:val="11"/>
        </w:rPr>
        <w:t xml:space="preserve"> </w:t>
      </w:r>
      <w:r>
        <w:rPr>
          <w:spacing w:val="7"/>
        </w:rPr>
        <w:t>素、氮族元素、氧族元素、卤素、铜、锌副族、钛副族元素、</w:t>
      </w:r>
      <w:r>
        <w:rPr>
          <w:spacing w:val="3"/>
        </w:rPr>
        <w:t xml:space="preserve"> </w:t>
      </w:r>
      <w:r>
        <w:rPr>
          <w:spacing w:val="-1"/>
        </w:rPr>
        <w:t>钒副族元素、铬副族元素、锰副族、铁系元素、铂系元素。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2023-09-26T10:43:32Z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2024-10-14T10:24:19</vt:filetime>
  </property>
</Properties>
</file>