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06AF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4D11681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A8D6C7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C73B9C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490E8B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D15312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8DF4E8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F8A3118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8BEC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177EF62D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《管理理论与实践》科目大纲</w:t>
      </w:r>
    </w:p>
    <w:p w14:paraId="2C44258E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(科目代码：743)</w:t>
      </w:r>
    </w:p>
    <w:p w14:paraId="7C40881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CD49D7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0081F0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F3EBEC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3B5F08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E479CC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8A23F6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F6487DC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商学院          </w:t>
      </w:r>
    </w:p>
    <w:p w14:paraId="5C2CD9D3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</w:t>
      </w:r>
    </w:p>
    <w:p w14:paraId="3C512E2D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44D545DB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5C8AA56">
      <w:pPr>
        <w:widowControl/>
        <w:rPr>
          <w:rFonts w:ascii="宋体" w:hAnsi="宋体"/>
          <w:sz w:val="24"/>
        </w:rPr>
      </w:pPr>
    </w:p>
    <w:p w14:paraId="4D72E2E6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01D5A426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华文中宋" w:eastAsia="黑体"/>
          <w:b/>
          <w:sz w:val="30"/>
          <w:szCs w:val="30"/>
          <w:lang w:val="en-US" w:eastAsia="zh-CN"/>
        </w:rPr>
        <w:t>管理</w:t>
      </w:r>
      <w:r>
        <w:rPr>
          <w:rFonts w:hint="eastAsia" w:ascii="黑体" w:hAnsi="华文中宋" w:eastAsia="黑体"/>
          <w:b/>
          <w:sz w:val="30"/>
          <w:szCs w:val="30"/>
          <w:lang w:val="en-US" w:eastAsia="zh-CN"/>
        </w:rPr>
        <w:t>理论与实践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132D7A28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</w:t>
      </w:r>
      <w:r>
        <w:rPr>
          <w:rFonts w:hint="eastAsia" w:ascii="黑体" w:hAnsi="宋体" w:eastAsia="黑体"/>
          <w:sz w:val="24"/>
          <w:lang w:val="en-US" w:eastAsia="zh-CN"/>
        </w:rPr>
        <w:t>43</w:t>
      </w:r>
      <w:r>
        <w:rPr>
          <w:rFonts w:hint="eastAsia" w:ascii="黑体" w:hAnsi="宋体" w:eastAsia="黑体"/>
          <w:sz w:val="24"/>
        </w:rPr>
        <w:t>)</w:t>
      </w:r>
    </w:p>
    <w:p w14:paraId="249EFB42">
      <w:pPr>
        <w:widowControl/>
        <w:jc w:val="center"/>
        <w:rPr>
          <w:rFonts w:hint="eastAsia" w:ascii="黑体" w:hAnsi="宋体" w:eastAsia="黑体"/>
          <w:sz w:val="24"/>
        </w:rPr>
      </w:pPr>
    </w:p>
    <w:p w14:paraId="580B576B">
      <w:pPr>
        <w:widowControl/>
        <w:spacing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第一部分《人力资源管理》</w:t>
      </w:r>
    </w:p>
    <w:p w14:paraId="15AC3EC7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</w:t>
      </w:r>
      <w:r>
        <w:rPr>
          <w:rFonts w:ascii="仿宋_GB2312" w:hAnsi="宋体" w:eastAsia="仿宋_GB2312"/>
          <w:b/>
          <w:bCs/>
          <w:szCs w:val="21"/>
        </w:rPr>
        <w:t>. 人力资源与人力资源管理概述 </w:t>
      </w:r>
    </w:p>
    <w:p w14:paraId="03B3A2B5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.1人力资源概述 </w:t>
      </w:r>
    </w:p>
    <w:p w14:paraId="0820757C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.2人力资源管理概述 </w:t>
      </w:r>
    </w:p>
    <w:p w14:paraId="6615EBDB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.3　战略性人力资源管理</w:t>
      </w:r>
    </w:p>
    <w:p w14:paraId="2C00837F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b/>
          <w:bCs/>
          <w:szCs w:val="21"/>
        </w:rPr>
        <w:t>2. 人力资源管理的理论基础 </w:t>
      </w:r>
    </w:p>
    <w:p w14:paraId="11881AA2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1.1 人性假设理论 </w:t>
      </w:r>
    </w:p>
    <w:p w14:paraId="75A39684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.2 激励理论 </w:t>
      </w:r>
    </w:p>
    <w:p w14:paraId="3CD023E4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.3 人力资源管理的环境 </w:t>
      </w:r>
    </w:p>
    <w:p w14:paraId="2FDA7A5D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</w:t>
      </w:r>
      <w:r>
        <w:rPr>
          <w:rFonts w:ascii="仿宋_GB2312" w:hAnsi="宋体" w:eastAsia="仿宋_GB2312"/>
          <w:b/>
          <w:bCs/>
          <w:szCs w:val="21"/>
        </w:rPr>
        <w:t>. 人力资源管理的组织基础 </w:t>
      </w:r>
    </w:p>
    <w:p w14:paraId="2BD3B47B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3.1　组织文化 </w:t>
      </w:r>
    </w:p>
    <w:p w14:paraId="77329F12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</w:t>
      </w:r>
      <w:r>
        <w:rPr>
          <w:rFonts w:ascii="仿宋_GB2312" w:hAnsi="宋体" w:eastAsia="仿宋_GB2312"/>
          <w:szCs w:val="21"/>
        </w:rPr>
        <w:t>.2　组织结构 </w:t>
      </w:r>
    </w:p>
    <w:p w14:paraId="5D6311C4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</w:t>
      </w:r>
      <w:r>
        <w:rPr>
          <w:rFonts w:ascii="仿宋_GB2312" w:hAnsi="宋体" w:eastAsia="仿宋_GB2312"/>
          <w:szCs w:val="21"/>
        </w:rPr>
        <w:t>.3　人力资源管理者和人力资源管理部门 </w:t>
      </w:r>
    </w:p>
    <w:p w14:paraId="654F2BCB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</w:t>
      </w:r>
      <w:r>
        <w:rPr>
          <w:rFonts w:ascii="仿宋_GB2312" w:hAnsi="宋体" w:eastAsia="仿宋_GB2312"/>
          <w:b/>
          <w:bCs/>
          <w:szCs w:val="21"/>
        </w:rPr>
        <w:t>. 职位分析与胜任素质模型 </w:t>
      </w:r>
    </w:p>
    <w:p w14:paraId="3713C759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</w:t>
      </w:r>
      <w:r>
        <w:rPr>
          <w:rFonts w:ascii="仿宋_GB2312" w:hAnsi="宋体" w:eastAsia="仿宋_GB2312"/>
          <w:szCs w:val="21"/>
        </w:rPr>
        <w:t>.1　职位分析概述 </w:t>
      </w:r>
    </w:p>
    <w:p w14:paraId="6F411B93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</w:t>
      </w:r>
      <w:r>
        <w:rPr>
          <w:rFonts w:ascii="仿宋_GB2312" w:hAnsi="宋体" w:eastAsia="仿宋_GB2312"/>
          <w:szCs w:val="21"/>
        </w:rPr>
        <w:t>.2　职位分析的具体实施 </w:t>
      </w:r>
    </w:p>
    <w:p w14:paraId="026C4AAF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</w:t>
      </w:r>
      <w:r>
        <w:rPr>
          <w:rFonts w:ascii="仿宋_GB2312" w:hAnsi="宋体" w:eastAsia="仿宋_GB2312"/>
          <w:szCs w:val="21"/>
        </w:rPr>
        <w:t>.3　职位说明书的编写 </w:t>
      </w:r>
    </w:p>
    <w:p w14:paraId="181ACEA8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</w:t>
      </w:r>
      <w:r>
        <w:rPr>
          <w:rFonts w:ascii="仿宋_GB2312" w:hAnsi="宋体" w:eastAsia="仿宋_GB2312"/>
          <w:szCs w:val="21"/>
        </w:rPr>
        <w:t>.4　胜任素质模型</w:t>
      </w:r>
      <w:r>
        <w:rPr>
          <w:rFonts w:ascii="仿宋_GB2312" w:hAnsi="宋体" w:eastAsia="仿宋_GB2312"/>
          <w:szCs w:val="21"/>
        </w:rPr>
        <w:br w:type="textWrapping"/>
      </w:r>
      <w:r>
        <w:rPr>
          <w:rFonts w:hint="eastAsia" w:ascii="仿宋_GB2312" w:hAnsi="宋体" w:eastAsia="仿宋_GB2312"/>
          <w:b/>
          <w:bCs/>
          <w:szCs w:val="21"/>
        </w:rPr>
        <w:t>5</w:t>
      </w:r>
      <w:r>
        <w:rPr>
          <w:rFonts w:ascii="仿宋_GB2312" w:hAnsi="宋体" w:eastAsia="仿宋_GB2312"/>
          <w:b/>
          <w:bCs/>
          <w:szCs w:val="21"/>
        </w:rPr>
        <w:t>. 员工招聘 </w:t>
      </w:r>
    </w:p>
    <w:p w14:paraId="75531916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</w:t>
      </w:r>
      <w:r>
        <w:rPr>
          <w:rFonts w:ascii="仿宋_GB2312" w:hAnsi="宋体" w:eastAsia="仿宋_GB2312"/>
          <w:szCs w:val="21"/>
        </w:rPr>
        <w:t>.1　员工招聘概述 </w:t>
      </w:r>
    </w:p>
    <w:p w14:paraId="05C8E652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</w:t>
      </w:r>
      <w:r>
        <w:rPr>
          <w:rFonts w:ascii="仿宋_GB2312" w:hAnsi="宋体" w:eastAsia="仿宋_GB2312"/>
          <w:szCs w:val="21"/>
        </w:rPr>
        <w:t>.2　招募的渠道与方法 </w:t>
      </w:r>
    </w:p>
    <w:p w14:paraId="303B09BA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</w:t>
      </w:r>
      <w:r>
        <w:rPr>
          <w:rFonts w:ascii="仿宋_GB2312" w:hAnsi="宋体" w:eastAsia="仿宋_GB2312"/>
          <w:szCs w:val="21"/>
        </w:rPr>
        <w:t>.3　员工甄选 </w:t>
      </w:r>
    </w:p>
    <w:p w14:paraId="22166ABA">
      <w:pPr>
        <w:widowControl/>
        <w:spacing w:line="360" w:lineRule="auto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</w:t>
      </w:r>
      <w:r>
        <w:rPr>
          <w:rFonts w:ascii="仿宋_GB2312" w:hAnsi="宋体" w:eastAsia="仿宋_GB2312"/>
          <w:b/>
          <w:bCs/>
          <w:szCs w:val="21"/>
        </w:rPr>
        <w:t>.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ascii="仿宋_GB2312" w:hAnsi="宋体" w:eastAsia="仿宋_GB2312"/>
          <w:b/>
          <w:bCs/>
          <w:szCs w:val="21"/>
        </w:rPr>
        <w:t>培训与开发 </w:t>
      </w:r>
    </w:p>
    <w:p w14:paraId="474C602D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</w:t>
      </w:r>
      <w:r>
        <w:rPr>
          <w:rFonts w:ascii="仿宋_GB2312" w:hAnsi="宋体" w:eastAsia="仿宋_GB2312"/>
          <w:szCs w:val="21"/>
        </w:rPr>
        <w:t>.1　培训与开发概述 </w:t>
      </w:r>
    </w:p>
    <w:p w14:paraId="7F8716F0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</w:t>
      </w:r>
      <w:r>
        <w:rPr>
          <w:rFonts w:ascii="仿宋_GB2312" w:hAnsi="宋体" w:eastAsia="仿宋_GB2312"/>
          <w:szCs w:val="21"/>
        </w:rPr>
        <w:t>.2　培训与开发工作的具体实施 </w:t>
      </w:r>
    </w:p>
    <w:p w14:paraId="469500B4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</w:t>
      </w:r>
      <w:r>
        <w:rPr>
          <w:rFonts w:ascii="仿宋_GB2312" w:hAnsi="宋体" w:eastAsia="仿宋_GB2312"/>
          <w:szCs w:val="21"/>
        </w:rPr>
        <w:t>.3　培训与开发的主要方法</w:t>
      </w:r>
    </w:p>
    <w:p w14:paraId="2E385878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</w:t>
      </w:r>
      <w:r>
        <w:rPr>
          <w:rFonts w:ascii="仿宋_GB2312" w:hAnsi="宋体" w:eastAsia="仿宋_GB2312"/>
          <w:b/>
          <w:bCs/>
          <w:szCs w:val="21"/>
        </w:rPr>
        <w:t>.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ascii="仿宋_GB2312" w:hAnsi="宋体" w:eastAsia="仿宋_GB2312"/>
          <w:b/>
          <w:bCs/>
          <w:szCs w:val="21"/>
        </w:rPr>
        <w:t>绩效管理 </w:t>
      </w:r>
    </w:p>
    <w:p w14:paraId="54EEBFBD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</w:t>
      </w:r>
      <w:r>
        <w:rPr>
          <w:rFonts w:ascii="仿宋_GB2312" w:hAnsi="宋体" w:eastAsia="仿宋_GB2312"/>
          <w:szCs w:val="21"/>
        </w:rPr>
        <w:t>.1　绩效管理概述 </w:t>
      </w:r>
    </w:p>
    <w:p w14:paraId="2C4D72AC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</w:t>
      </w:r>
      <w:r>
        <w:rPr>
          <w:rFonts w:ascii="仿宋_GB2312" w:hAnsi="宋体" w:eastAsia="仿宋_GB2312"/>
          <w:szCs w:val="21"/>
        </w:rPr>
        <w:t>.2　绩效计划 </w:t>
      </w:r>
    </w:p>
    <w:p w14:paraId="51DDB655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</w:t>
      </w:r>
      <w:r>
        <w:rPr>
          <w:rFonts w:ascii="仿宋_GB2312" w:hAnsi="宋体" w:eastAsia="仿宋_GB2312"/>
          <w:szCs w:val="21"/>
        </w:rPr>
        <w:t>.3　绩效监控 </w:t>
      </w:r>
    </w:p>
    <w:p w14:paraId="4C74D79D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</w:t>
      </w:r>
      <w:r>
        <w:rPr>
          <w:rFonts w:ascii="仿宋_GB2312" w:hAnsi="宋体" w:eastAsia="仿宋_GB2312"/>
          <w:szCs w:val="21"/>
        </w:rPr>
        <w:t>.4  绩效考核 </w:t>
      </w:r>
    </w:p>
    <w:p w14:paraId="3926FA5D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</w:t>
      </w:r>
      <w:r>
        <w:rPr>
          <w:rFonts w:ascii="仿宋_GB2312" w:hAnsi="宋体" w:eastAsia="仿宋_GB2312"/>
          <w:szCs w:val="21"/>
        </w:rPr>
        <w:t>.5　绩效反馈 </w:t>
      </w:r>
    </w:p>
    <w:p w14:paraId="289E8A7C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</w:t>
      </w:r>
      <w:r>
        <w:rPr>
          <w:rFonts w:ascii="仿宋_GB2312" w:hAnsi="宋体" w:eastAsia="仿宋_GB2312"/>
          <w:b/>
          <w:bCs/>
          <w:szCs w:val="21"/>
        </w:rPr>
        <w:t>.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ascii="仿宋_GB2312" w:hAnsi="宋体" w:eastAsia="仿宋_GB2312"/>
          <w:b/>
          <w:bCs/>
          <w:szCs w:val="21"/>
        </w:rPr>
        <w:t>薪酬管理 </w:t>
      </w:r>
    </w:p>
    <w:p w14:paraId="710AE884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</w:t>
      </w:r>
      <w:r>
        <w:rPr>
          <w:rFonts w:ascii="仿宋_GB2312" w:hAnsi="宋体" w:eastAsia="仿宋_GB2312"/>
          <w:szCs w:val="21"/>
        </w:rPr>
        <w:t>.1　薪酬管理概述 </w:t>
      </w:r>
    </w:p>
    <w:p w14:paraId="54837FD3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8.2　基本薪酬 </w:t>
      </w:r>
    </w:p>
    <w:p w14:paraId="5879F392">
      <w:pPr>
        <w:widowControl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</w:t>
      </w:r>
      <w:r>
        <w:rPr>
          <w:rFonts w:ascii="仿宋_GB2312" w:hAnsi="宋体" w:eastAsia="仿宋_GB2312"/>
          <w:szCs w:val="21"/>
        </w:rPr>
        <w:t>.3　可变薪酬 </w:t>
      </w:r>
    </w:p>
    <w:p w14:paraId="1B9CF574">
      <w:pPr>
        <w:widowControl/>
        <w:spacing w:line="360" w:lineRule="auto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8.4  福　利 </w:t>
      </w:r>
    </w:p>
    <w:p w14:paraId="6540497C">
      <w:pPr>
        <w:widowControl/>
        <w:spacing w:line="360" w:lineRule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参考书目</w:t>
      </w:r>
    </w:p>
    <w:p w14:paraId="6D1C96BF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1. </w:t>
      </w: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HYPERLINK "https://book.jd.com/writer/%E8%91%A3%E5%85%8B%E7%94%A8_1.html" \t "_blank"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Fonts w:ascii="仿宋_GB2312" w:hAnsi="宋体" w:eastAsia="仿宋_GB2312"/>
          <w:szCs w:val="21"/>
        </w:rPr>
        <w:t>董克用</w:t>
      </w:r>
      <w:r>
        <w:rPr>
          <w:rFonts w:ascii="仿宋_GB2312" w:hAnsi="宋体" w:eastAsia="仿宋_GB2312"/>
          <w:szCs w:val="21"/>
        </w:rPr>
        <w:fldChar w:fldCharType="end"/>
      </w:r>
      <w:r>
        <w:rPr>
          <w:rFonts w:hint="eastAsia" w:ascii="仿宋_GB2312" w:hAnsi="宋体" w:eastAsia="仿宋_GB2312"/>
          <w:szCs w:val="21"/>
        </w:rPr>
        <w:t>,</w:t>
      </w: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HYPERLINK "https://book.jd.com/writer/%E6%9D%8E%E8%B6%85%E5%B9%B3_1.html" \t "_blank"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Fonts w:ascii="仿宋_GB2312" w:hAnsi="宋体" w:eastAsia="仿宋_GB2312"/>
          <w:szCs w:val="21"/>
        </w:rPr>
        <w:t>李超平</w:t>
      </w:r>
      <w:r>
        <w:rPr>
          <w:rFonts w:ascii="仿宋_GB2312" w:hAnsi="宋体" w:eastAsia="仿宋_GB2312"/>
          <w:szCs w:val="21"/>
        </w:rPr>
        <w:fldChar w:fldCharType="end"/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>人力资源管理概论</w:t>
      </w:r>
      <w:r>
        <w:rPr>
          <w:rFonts w:hint="eastAsia" w:ascii="仿宋_GB2312" w:hAnsi="宋体" w:eastAsia="仿宋_GB2312"/>
          <w:szCs w:val="21"/>
        </w:rPr>
        <w:t>(</w:t>
      </w:r>
      <w:r>
        <w:rPr>
          <w:rFonts w:ascii="仿宋_GB2312" w:hAnsi="宋体" w:eastAsia="仿宋_GB2312"/>
          <w:szCs w:val="21"/>
        </w:rPr>
        <w:t>第5版</w:t>
      </w:r>
      <w:r>
        <w:rPr>
          <w:rFonts w:hint="eastAsia" w:ascii="仿宋_GB2312" w:hAnsi="宋体" w:eastAsia="仿宋_GB2312"/>
          <w:szCs w:val="21"/>
        </w:rPr>
        <w:t>), 中国人民大学出版社，201</w:t>
      </w:r>
      <w:r>
        <w:rPr>
          <w:rFonts w:ascii="仿宋_GB2312" w:hAnsi="宋体" w:eastAsia="仿宋_GB2312"/>
          <w:szCs w:val="21"/>
        </w:rPr>
        <w:t>9</w:t>
      </w:r>
      <w:r>
        <w:rPr>
          <w:rFonts w:hint="eastAsia" w:ascii="仿宋_GB2312" w:hAnsi="宋体" w:eastAsia="仿宋_GB2312"/>
          <w:szCs w:val="21"/>
        </w:rPr>
        <w:t>.</w:t>
      </w:r>
    </w:p>
    <w:p w14:paraId="60C0E463">
      <w:pPr>
        <w:widowControl/>
        <w:spacing w:line="520" w:lineRule="exact"/>
        <w:jc w:val="left"/>
        <w:rPr>
          <w:rFonts w:hint="eastAsia"/>
          <w:b/>
          <w:bCs/>
          <w:kern w:val="0"/>
        </w:rPr>
      </w:pPr>
    </w:p>
    <w:p w14:paraId="65B6200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6BC0D5D1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6BA94C6A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5396C813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534E2199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40A69CA7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350A2B78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2B394C17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23775FD7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03DE8C8A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3A632680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564D79DC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2B7A556D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7AE1597A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7D67EB52">
      <w:pPr>
        <w:tabs>
          <w:tab w:val="left" w:pos="900"/>
        </w:tabs>
        <w:spacing w:line="360" w:lineRule="exact"/>
        <w:ind w:firstLine="594" w:firstLineChars="185"/>
        <w:jc w:val="center"/>
        <w:rPr>
          <w:b/>
          <w:bCs/>
          <w:kern w:val="0"/>
          <w:sz w:val="32"/>
          <w:szCs w:val="40"/>
        </w:rPr>
      </w:pPr>
    </w:p>
    <w:p w14:paraId="5C9627AB">
      <w:pPr>
        <w:tabs>
          <w:tab w:val="left" w:pos="900"/>
        </w:tabs>
        <w:spacing w:line="360" w:lineRule="exact"/>
        <w:rPr>
          <w:b/>
          <w:bCs/>
          <w:kern w:val="0"/>
          <w:sz w:val="32"/>
          <w:szCs w:val="40"/>
        </w:rPr>
      </w:pPr>
    </w:p>
    <w:p w14:paraId="2A48853D">
      <w:pPr>
        <w:tabs>
          <w:tab w:val="left" w:pos="900"/>
        </w:tabs>
        <w:spacing w:line="360" w:lineRule="exact"/>
        <w:rPr>
          <w:b/>
          <w:bCs/>
          <w:kern w:val="0"/>
          <w:sz w:val="32"/>
          <w:szCs w:val="40"/>
        </w:rPr>
      </w:pPr>
    </w:p>
    <w:p w14:paraId="684D815A">
      <w:pPr>
        <w:tabs>
          <w:tab w:val="left" w:pos="900"/>
        </w:tabs>
        <w:spacing w:line="360" w:lineRule="exact"/>
        <w:rPr>
          <w:b/>
          <w:bCs/>
          <w:kern w:val="0"/>
          <w:sz w:val="32"/>
          <w:szCs w:val="40"/>
        </w:rPr>
      </w:pPr>
    </w:p>
    <w:p w14:paraId="24E4E020">
      <w:pPr>
        <w:tabs>
          <w:tab w:val="left" w:pos="900"/>
        </w:tabs>
        <w:spacing w:line="360" w:lineRule="exact"/>
        <w:rPr>
          <w:b/>
          <w:bCs/>
          <w:kern w:val="0"/>
          <w:sz w:val="32"/>
          <w:szCs w:val="40"/>
        </w:rPr>
      </w:pPr>
    </w:p>
    <w:p w14:paraId="03E6D612">
      <w:pPr>
        <w:tabs>
          <w:tab w:val="left" w:pos="900"/>
        </w:tabs>
        <w:spacing w:line="360" w:lineRule="exact"/>
        <w:rPr>
          <w:b/>
          <w:bCs/>
          <w:kern w:val="0"/>
          <w:sz w:val="32"/>
          <w:szCs w:val="40"/>
        </w:rPr>
      </w:pPr>
    </w:p>
    <w:p w14:paraId="3B2CCBA4">
      <w:pPr>
        <w:tabs>
          <w:tab w:val="left" w:pos="900"/>
        </w:tabs>
        <w:spacing w:line="360" w:lineRule="exact"/>
        <w:rPr>
          <w:rFonts w:hint="eastAsia"/>
          <w:b/>
          <w:bCs/>
          <w:kern w:val="0"/>
          <w:sz w:val="32"/>
          <w:szCs w:val="40"/>
        </w:rPr>
      </w:pPr>
    </w:p>
    <w:p w14:paraId="737BF4AB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  <w:r>
        <w:rPr>
          <w:rFonts w:hint="eastAsia"/>
          <w:b/>
          <w:bCs/>
          <w:kern w:val="0"/>
          <w:sz w:val="32"/>
          <w:szCs w:val="40"/>
        </w:rPr>
        <w:t>第二部分《战略管理》科目大纲</w:t>
      </w:r>
    </w:p>
    <w:p w14:paraId="4F50A584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152AB463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1. 战略管理导论</w:t>
      </w:r>
    </w:p>
    <w:p w14:paraId="480CC77E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1.1战略的内涵与特征</w:t>
      </w:r>
    </w:p>
    <w:p w14:paraId="33EBF01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1.2战略管理的内涵、过程、任务及层次</w:t>
      </w:r>
    </w:p>
    <w:p w14:paraId="3EDDD2B5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1.3战略管理主要流派</w:t>
      </w:r>
    </w:p>
    <w:p w14:paraId="60126AEF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 企业使命、愿景与社会责任</w:t>
      </w:r>
    </w:p>
    <w:p w14:paraId="2BB1B51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2.1企业使命</w:t>
      </w:r>
    </w:p>
    <w:p w14:paraId="3C4E296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2.2企业愿景</w:t>
      </w:r>
    </w:p>
    <w:p w14:paraId="18A9BD1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2.3企业社会责任</w:t>
      </w:r>
    </w:p>
    <w:p w14:paraId="605A73DF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3. 外部环境分析</w:t>
      </w:r>
    </w:p>
    <w:p w14:paraId="7BE2D4D8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3.1宏观环境</w:t>
      </w:r>
    </w:p>
    <w:p w14:paraId="45EB302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3.2行业环境</w:t>
      </w:r>
    </w:p>
    <w:p w14:paraId="7677B127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3.3市场环境</w:t>
      </w:r>
    </w:p>
    <w:p w14:paraId="43119921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3.4外部环境分析方法</w:t>
      </w:r>
    </w:p>
    <w:p w14:paraId="74BB2D41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4. 内部环境分析</w:t>
      </w:r>
    </w:p>
    <w:p w14:paraId="27AC4B7D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4.1企业资源基础观</w:t>
      </w:r>
    </w:p>
    <w:p w14:paraId="6DE28F1B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4.2企业核心竞争力</w:t>
      </w:r>
    </w:p>
    <w:p w14:paraId="4E929081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4.3价值链分析</w:t>
      </w:r>
    </w:p>
    <w:p w14:paraId="133DE7E1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4.4内部环境分析方法</w:t>
      </w:r>
    </w:p>
    <w:p w14:paraId="7AE0681C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5. 公司层战略</w:t>
      </w:r>
    </w:p>
    <w:p w14:paraId="24409572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5.1战略类型架构</w:t>
      </w:r>
    </w:p>
    <w:p w14:paraId="666E2948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5.2战略类型发展方向</w:t>
      </w:r>
    </w:p>
    <w:p w14:paraId="1F1385BB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5.3战略发展的力度</w:t>
      </w:r>
    </w:p>
    <w:p w14:paraId="52922B5D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5.4战略发展的途径</w:t>
      </w:r>
    </w:p>
    <w:p w14:paraId="5B2C4D98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6.价值创造与构建持久竞争优势</w:t>
      </w:r>
    </w:p>
    <w:p w14:paraId="5A6896B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6.1竞争优势与价值创造</w:t>
      </w:r>
    </w:p>
    <w:p w14:paraId="644DA4B7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6.2基本竞争战略分析</w:t>
      </w:r>
    </w:p>
    <w:p w14:paraId="2BE108C6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6.3构建持久竞争优势</w:t>
      </w:r>
    </w:p>
    <w:p w14:paraId="6E9E43C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6.4动态环境下的竞争优势</w:t>
      </w:r>
    </w:p>
    <w:p w14:paraId="7BE58D6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7.战略选择</w:t>
      </w:r>
    </w:p>
    <w:p w14:paraId="3183D49E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7.1影响战略选择的因素</w:t>
      </w:r>
    </w:p>
    <w:p w14:paraId="33AA30D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7.2战略选择的分析框架</w:t>
      </w:r>
    </w:p>
    <w:p w14:paraId="5231FB87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7.3战略选择的方法</w:t>
      </w:r>
    </w:p>
    <w:p w14:paraId="234E12E7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7.4战略评价</w:t>
      </w:r>
    </w:p>
    <w:p w14:paraId="77ABE849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8.战略实施</w:t>
      </w:r>
    </w:p>
    <w:p w14:paraId="71F2843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8.1战略实施概述</w:t>
      </w:r>
    </w:p>
    <w:p w14:paraId="6620EF38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8.2组织结构</w:t>
      </w:r>
    </w:p>
    <w:p w14:paraId="20253D1E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8.3战略领导者</w:t>
      </w:r>
    </w:p>
    <w:p w14:paraId="294E3896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8.4组织文化</w:t>
      </w:r>
    </w:p>
    <w:p w14:paraId="0953A101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9.战略控制</w:t>
      </w:r>
    </w:p>
    <w:p w14:paraId="64B1D18E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9.1战略控制概述</w:t>
      </w:r>
    </w:p>
    <w:p w14:paraId="316E17C4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9.2建立战略控制</w:t>
      </w:r>
    </w:p>
    <w:p w14:paraId="1AF6017D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9.3战略实施的控制</w:t>
      </w:r>
    </w:p>
    <w:p w14:paraId="350C5BB7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9.4持续改进以建立顾客价值</w:t>
      </w:r>
    </w:p>
    <w:p w14:paraId="1487CEB2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10.战略变革</w:t>
      </w:r>
    </w:p>
    <w:p w14:paraId="3924108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10.1战略变革的概述</w:t>
      </w:r>
    </w:p>
    <w:p w14:paraId="53EEA192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10.2战略变革的动因与阻力</w:t>
      </w:r>
    </w:p>
    <w:p w14:paraId="24B513B2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10.3战略变革的方式</w:t>
      </w:r>
    </w:p>
    <w:p w14:paraId="282D514C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10.4成功变革的主要因素</w:t>
      </w:r>
    </w:p>
    <w:p w14:paraId="6164EAF0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参考书目：</w:t>
      </w:r>
    </w:p>
    <w:p w14:paraId="24333258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黄旭.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战略管理思维与要径（第4版）.机械工业出版社，20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70F25D5A">
      <w:pPr>
        <w:widowControl/>
        <w:spacing w:line="360" w:lineRule="auto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魏江等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战略管理（第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版）. 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4114E64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70488105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52242FF7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4C636D0C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4A066A3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353AD3A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3CA7664A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3A295DA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0DF3DD07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第三部分《市场营销》科目大纲</w:t>
      </w:r>
    </w:p>
    <w:p w14:paraId="690C460D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p w14:paraId="5CE11C66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1. 绪论</w:t>
      </w:r>
    </w:p>
    <w:p w14:paraId="5BF75E4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1.1市场营销学派的发展</w:t>
      </w:r>
    </w:p>
    <w:p w14:paraId="5531989B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1.2市场营销学核心概念</w:t>
      </w:r>
    </w:p>
    <w:p w14:paraId="3FD15BD3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2.市场营销环境及购买者行为分析</w:t>
      </w:r>
    </w:p>
    <w:p w14:paraId="6EC5F9B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2.1市场营销环境概述</w:t>
      </w:r>
    </w:p>
    <w:p w14:paraId="77D56DAF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2.2宏观营销环境分析</w:t>
      </w:r>
    </w:p>
    <w:p w14:paraId="4E7A1024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2.3微观营销环境分析</w:t>
      </w:r>
    </w:p>
    <w:p w14:paraId="631A5B72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2.4消费者市场购买行为分析</w:t>
      </w:r>
    </w:p>
    <w:p w14:paraId="2719896D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3.市场营销调研与预测</w:t>
      </w:r>
    </w:p>
    <w:p w14:paraId="1DF3862E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"https://baike.baidu.com/item/%E5%B8%82%E5%9C%BA%E8%90%A5%E9%94%80%E4%BF%A1%E6%81%AF%E7%B3%BB%E7%BB%9F"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市场营销信息系统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50AE832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"https://baike.baidu.com/item/%E5%B8%82%E5%9C%BA%E8%90%A5%E9%94%80%E8%B0%83%E7%A0%94"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市场营销调研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76ECCC09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3.3市场营销预测</w:t>
      </w:r>
    </w:p>
    <w:p w14:paraId="43F0AFCF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4.战略营销</w:t>
      </w:r>
    </w:p>
    <w:p w14:paraId="1CE16714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"https://baike.baidu.com/item/%E5%B8%82%E5%9C%BA%E7%BB%86%E5%88%86%E6%88%98%E7%95%A5"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市场细分战略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66672F72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"https://baike.baidu.com/item/%E7%9B%AE%E6%A0%87%E5%B8%82%E5%9C%BA%E6%88%98%E7%95%A5"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目标市场战略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4319A9B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4.3市场定位战略</w:t>
      </w:r>
    </w:p>
    <w:p w14:paraId="58AD6486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5.竞争战略</w:t>
      </w:r>
    </w:p>
    <w:p w14:paraId="5A5E66F4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5.1竞争力量模型</w:t>
      </w:r>
    </w:p>
    <w:p w14:paraId="20EAC1AD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5.2不同地位竞争者战略</w:t>
      </w:r>
    </w:p>
    <w:p w14:paraId="41148D2C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6.产品战略</w:t>
      </w:r>
    </w:p>
    <w:p w14:paraId="07C134C5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"https://baike.baidu.com/item/%E4%BA%A7%E5%93%81%E6%95%B4%E4%BD%93%E6%A6%82%E5%BF%B5"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产品整体概念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7C068D8F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"https://baike.baidu.com/item/%E4%BA%A7%E5%93%81%E7%94%9F%E5%91%BD%E5%91%A8%E6%9C%9F"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产品生命周期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5489DEBC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"https://baike.baidu.com/item/%E4%BA%A7%E5%93%81%E7%BB%84%E5%90%88"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产品组合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49DFBE88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"https://baike.baidu.com/item/%E6%96%B0%E4%BA%A7%E5%93%81%E5%BC%80%E5%8F%91"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新产品开发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235ECD85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7.定价策略</w:t>
      </w:r>
    </w:p>
    <w:p w14:paraId="032FEFED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 影响定价的主要因素</w:t>
      </w:r>
    </w:p>
    <w:p w14:paraId="304DD166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7.2定价的一般方法</w:t>
      </w:r>
    </w:p>
    <w:p w14:paraId="4D0DBB44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7.3定价的基本策略</w:t>
      </w:r>
    </w:p>
    <w:p w14:paraId="018BE429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8.国际市场营销</w:t>
      </w:r>
    </w:p>
    <w:p w14:paraId="0EAB1F86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8.1国际市场营销环境分析</w:t>
      </w:r>
    </w:p>
    <w:p w14:paraId="725C1A90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"https://baike.baidu.com/item/%E5%9B%BD%E9%99%85%E7%9B%AE%E6%A0%87%E5%B8%82%E5%9C%BA"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国际目标市场</w:t>
      </w:r>
      <w:r>
        <w:rPr>
          <w:rFonts w:hint="eastAsia" w:ascii="仿宋_GB2312" w:hAnsi="宋体" w:eastAsia="仿宋_GB2312"/>
          <w:szCs w:val="21"/>
        </w:rPr>
        <w:fldChar w:fldCharType="end"/>
      </w:r>
      <w:r>
        <w:rPr>
          <w:rFonts w:hint="eastAsia" w:ascii="仿宋_GB2312" w:hAnsi="宋体" w:eastAsia="仿宋_GB2312"/>
          <w:szCs w:val="21"/>
        </w:rPr>
        <w:t>及其进入方式</w:t>
      </w:r>
    </w:p>
    <w:p w14:paraId="6AD8258F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8.3国际市场营销组合策略</w:t>
      </w:r>
    </w:p>
    <w:p w14:paraId="2AA77D22">
      <w:pPr>
        <w:widowControl/>
        <w:tabs>
          <w:tab w:val="left" w:pos="3460"/>
        </w:tabs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  <w:r>
        <w:rPr>
          <w:rFonts w:ascii="仿宋_GB2312" w:hAnsi="宋体" w:eastAsia="仿宋_GB2312"/>
          <w:b/>
          <w:bCs/>
          <w:szCs w:val="21"/>
        </w:rPr>
        <w:tab/>
      </w:r>
    </w:p>
    <w:p w14:paraId="1201930D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吴健安．市场营销学（第七版）.清华大学出版社，2022</w:t>
      </w:r>
      <w:r>
        <w:rPr>
          <w:rFonts w:ascii="仿宋_GB2312" w:hAnsi="宋体" w:eastAsia="仿宋_GB2312"/>
          <w:szCs w:val="21"/>
        </w:rPr>
        <w:t>.</w:t>
      </w:r>
    </w:p>
    <w:p w14:paraId="6A194B65">
      <w:pPr>
        <w:widowControl/>
        <w:spacing w:line="360" w:lineRule="auto"/>
        <w:jc w:val="left"/>
        <w:rPr>
          <w:rFonts w:hint="eastAsia" w:ascii="仿宋_GB2312" w:hAnsi="宋体" w:eastAsia="仿宋_GB2312"/>
          <w:b/>
          <w:bCs/>
          <w:szCs w:val="21"/>
        </w:rPr>
      </w:pP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172A27"/>
    <w:rsid w:val="000312C2"/>
    <w:rsid w:val="00033DC3"/>
    <w:rsid w:val="00094067"/>
    <w:rsid w:val="00137880"/>
    <w:rsid w:val="00150CCA"/>
    <w:rsid w:val="00167A0F"/>
    <w:rsid w:val="001838BE"/>
    <w:rsid w:val="001970B1"/>
    <w:rsid w:val="001A686F"/>
    <w:rsid w:val="001D5009"/>
    <w:rsid w:val="001F62F4"/>
    <w:rsid w:val="00212EB6"/>
    <w:rsid w:val="00235994"/>
    <w:rsid w:val="00265E82"/>
    <w:rsid w:val="002D4041"/>
    <w:rsid w:val="00304241"/>
    <w:rsid w:val="00321207"/>
    <w:rsid w:val="00347D66"/>
    <w:rsid w:val="003A6241"/>
    <w:rsid w:val="003B19F9"/>
    <w:rsid w:val="00436311"/>
    <w:rsid w:val="0046024E"/>
    <w:rsid w:val="00473277"/>
    <w:rsid w:val="00477B1D"/>
    <w:rsid w:val="00493452"/>
    <w:rsid w:val="004A2497"/>
    <w:rsid w:val="004B51AB"/>
    <w:rsid w:val="004F0EE8"/>
    <w:rsid w:val="00546590"/>
    <w:rsid w:val="00561B22"/>
    <w:rsid w:val="00564359"/>
    <w:rsid w:val="00590112"/>
    <w:rsid w:val="00590390"/>
    <w:rsid w:val="005F77F2"/>
    <w:rsid w:val="00642D4F"/>
    <w:rsid w:val="00655710"/>
    <w:rsid w:val="006C476C"/>
    <w:rsid w:val="006D1207"/>
    <w:rsid w:val="006E717C"/>
    <w:rsid w:val="00732618"/>
    <w:rsid w:val="00736029"/>
    <w:rsid w:val="0075017F"/>
    <w:rsid w:val="007521D8"/>
    <w:rsid w:val="00770C5E"/>
    <w:rsid w:val="00773D5D"/>
    <w:rsid w:val="00776A90"/>
    <w:rsid w:val="00784879"/>
    <w:rsid w:val="0079035F"/>
    <w:rsid w:val="007B4F0A"/>
    <w:rsid w:val="007D3858"/>
    <w:rsid w:val="007E635D"/>
    <w:rsid w:val="008504AA"/>
    <w:rsid w:val="008A647B"/>
    <w:rsid w:val="008B4388"/>
    <w:rsid w:val="008D2332"/>
    <w:rsid w:val="00903B7A"/>
    <w:rsid w:val="00930C61"/>
    <w:rsid w:val="009A13CA"/>
    <w:rsid w:val="009B2A68"/>
    <w:rsid w:val="009B726C"/>
    <w:rsid w:val="009C2185"/>
    <w:rsid w:val="009D194D"/>
    <w:rsid w:val="009F0324"/>
    <w:rsid w:val="009F6CA6"/>
    <w:rsid w:val="00A24D8C"/>
    <w:rsid w:val="00AC3D0F"/>
    <w:rsid w:val="00B40EE9"/>
    <w:rsid w:val="00B4298B"/>
    <w:rsid w:val="00B634C4"/>
    <w:rsid w:val="00BC1FE7"/>
    <w:rsid w:val="00BE4A3B"/>
    <w:rsid w:val="00C333DE"/>
    <w:rsid w:val="00C520E7"/>
    <w:rsid w:val="00C528C2"/>
    <w:rsid w:val="00C82802"/>
    <w:rsid w:val="00C87B2F"/>
    <w:rsid w:val="00C93798"/>
    <w:rsid w:val="00C94EAB"/>
    <w:rsid w:val="00CA18C7"/>
    <w:rsid w:val="00D22027"/>
    <w:rsid w:val="00D406A9"/>
    <w:rsid w:val="00D549CE"/>
    <w:rsid w:val="00D7374D"/>
    <w:rsid w:val="00D83FFA"/>
    <w:rsid w:val="00DB2579"/>
    <w:rsid w:val="00DC481B"/>
    <w:rsid w:val="00E211D1"/>
    <w:rsid w:val="00E5058F"/>
    <w:rsid w:val="00E802EA"/>
    <w:rsid w:val="00F0732B"/>
    <w:rsid w:val="00F10C1E"/>
    <w:rsid w:val="00F132C3"/>
    <w:rsid w:val="00F56725"/>
    <w:rsid w:val="00F57D41"/>
    <w:rsid w:val="00F62C78"/>
    <w:rsid w:val="00FB149B"/>
    <w:rsid w:val="00FC4353"/>
    <w:rsid w:val="00FF1680"/>
    <w:rsid w:val="0CBB2EBB"/>
    <w:rsid w:val="13F263FF"/>
    <w:rsid w:val="1E4F4029"/>
    <w:rsid w:val="22FD0189"/>
    <w:rsid w:val="27E67765"/>
    <w:rsid w:val="311A54E9"/>
    <w:rsid w:val="322272D6"/>
    <w:rsid w:val="358D4ACB"/>
    <w:rsid w:val="3D267B33"/>
    <w:rsid w:val="42B04820"/>
    <w:rsid w:val="612B4AA8"/>
    <w:rsid w:val="638403DC"/>
    <w:rsid w:val="726F12A7"/>
    <w:rsid w:val="745A19B1"/>
    <w:rsid w:val="767D4D93"/>
    <w:rsid w:val="771E1BE9"/>
    <w:rsid w:val="7C7F4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  <w:style w:type="character" w:styleId="12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1159</Words>
  <Characters>1398</Characters>
  <Lines>28</Lines>
  <Paragraphs>8</Paragraphs>
  <TotalTime>0</TotalTime>
  <ScaleCrop>false</ScaleCrop>
  <LinksUpToDate>false</LinksUpToDate>
  <CharactersWithSpaces>1544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2024-10-10T08:55:38Z</dcterms:modified>
  <dc:title>《劳动经济学》科目大纲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41566522740F4ABFB77F669C899521DE_13</vt:lpwstr>
  </property>
</Properties>
</file>