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A6E" w:rsidRDefault="00884A6E">
      <w:pPr>
        <w:widowControl/>
        <w:jc w:val="left"/>
        <w:rPr>
          <w:rFonts w:ascii="SimHei" w:eastAsia="SimHei" w:hAnsi="SimHei"/>
          <w:color w:val="000000"/>
          <w:kern w:val="0"/>
          <w:sz w:val="15"/>
          <w:szCs w:val="15"/>
        </w:rPr>
      </w:pPr>
    </w:p>
    <w:p w:rsidR="00884A6E" w:rsidRDefault="00000000">
      <w:pPr>
        <w:spacing w:line="360" w:lineRule="auto"/>
        <w:jc w:val="center"/>
        <w:rPr>
          <w:rFonts w:ascii="SimHei" w:eastAsia="SimHei" w:hAnsi="SimHei"/>
          <w:b/>
          <w:bCs/>
          <w:sz w:val="32"/>
          <w:szCs w:val="32"/>
        </w:rPr>
      </w:pPr>
      <w:r>
        <w:rPr>
          <w:rFonts w:ascii="SimHei" w:eastAsia="SimHei" w:hAnsi="SimHei" w:hint="eastAsia"/>
          <w:b/>
          <w:bCs/>
          <w:spacing w:val="-6"/>
          <w:sz w:val="32"/>
          <w:szCs w:val="32"/>
        </w:rPr>
        <w:t>202</w:t>
      </w:r>
      <w:r w:rsidR="00DF202F">
        <w:rPr>
          <w:rFonts w:ascii="SimHei" w:eastAsia="SimHei" w:hAnsi="SimHei"/>
          <w:b/>
          <w:bCs/>
          <w:spacing w:val="-6"/>
          <w:sz w:val="32"/>
          <w:szCs w:val="32"/>
        </w:rPr>
        <w:t>5</w:t>
      </w:r>
      <w:r>
        <w:rPr>
          <w:rFonts w:ascii="SimHei" w:eastAsia="SimHei" w:hAnsi="SimHei" w:hint="eastAsia"/>
          <w:b/>
          <w:bCs/>
          <w:spacing w:val="-6"/>
          <w:sz w:val="32"/>
          <w:szCs w:val="32"/>
        </w:rPr>
        <w:t>年全国硕士研究生招生考试《专硕农业综合二之 动物营养学》</w:t>
      </w:r>
      <w:r>
        <w:rPr>
          <w:rFonts w:ascii="SimHei" w:eastAsia="SimHei" w:hAnsi="SimHei" w:hint="eastAsia"/>
          <w:b/>
          <w:bCs/>
          <w:sz w:val="32"/>
          <w:szCs w:val="32"/>
        </w:rPr>
        <w:t>考试大纲</w:t>
      </w:r>
    </w:p>
    <w:p w:rsidR="00884A6E" w:rsidRDefault="00884A6E">
      <w:pPr>
        <w:spacing w:line="360" w:lineRule="auto"/>
        <w:jc w:val="center"/>
        <w:rPr>
          <w:rFonts w:ascii="SimHei" w:eastAsia="SimHei" w:hAnsi="SimHei"/>
          <w:b/>
          <w:bCs/>
          <w:sz w:val="32"/>
          <w:szCs w:val="32"/>
        </w:rPr>
      </w:pPr>
    </w:p>
    <w:p w:rsidR="00884A6E" w:rsidRDefault="00000000">
      <w:pPr>
        <w:spacing w:line="440" w:lineRule="exact"/>
        <w:rPr>
          <w:rFonts w:ascii="SimHei" w:eastAsia="SimHei" w:hAnsi="SimHei" w:cs="SimHei"/>
          <w:color w:val="000000" w:themeColor="text1"/>
          <w:sz w:val="28"/>
          <w:szCs w:val="28"/>
        </w:rPr>
      </w:pPr>
      <w:r>
        <w:rPr>
          <w:rFonts w:ascii="SimHei" w:eastAsia="SimHei" w:hAnsi="SimHei" w:cs="SimHei" w:hint="eastAsia"/>
          <w:color w:val="000000" w:themeColor="text1"/>
          <w:sz w:val="28"/>
          <w:szCs w:val="28"/>
        </w:rPr>
        <w:t>一、考试性质</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《专硕农业综合二之 动物营养学》考试是为湖南农业大学养殖领域招收专业学位硕士研究生而设置的具有选拔性质的招生考试科目，其目的是科学、公平、有效地测试考生大学本科阶段《动物营养学》、《饲料与饲养学》课程的掌握情况，包括该课程的基本知识、基本理论、营养需要及营养研究方法的概念、原理、方法、进展、应用和意义，评价的标准是高等学校本科毕业生能达到的及格或及格以上水平，以保证被录取者具有必要的动物营养与饲料科学专业知识和技能，有利于择优选拔。</w:t>
      </w:r>
    </w:p>
    <w:p w:rsidR="00884A6E" w:rsidRDefault="00000000">
      <w:pPr>
        <w:spacing w:line="440" w:lineRule="exact"/>
        <w:rPr>
          <w:rFonts w:ascii="SimHei" w:eastAsia="SimHei" w:hAnsi="SimHei" w:cs="SimHei"/>
          <w:color w:val="000000" w:themeColor="text1"/>
          <w:sz w:val="28"/>
          <w:szCs w:val="28"/>
        </w:rPr>
      </w:pPr>
      <w:r>
        <w:rPr>
          <w:rFonts w:ascii="SimHei" w:eastAsia="SimHei" w:hAnsi="SimHei" w:cs="SimHei" w:hint="eastAsia"/>
          <w:color w:val="000000" w:themeColor="text1"/>
          <w:sz w:val="28"/>
          <w:szCs w:val="28"/>
        </w:rPr>
        <w:t>二、考查目标</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动物营养学重点掌握动物营养基础理论、饲料营养价值评定、家畜营养需要、家畜饲养标准与日粮配制技术以及营养与环境、畜产品关系，使学生掌握动物营养学基本理论与技能，从而把饲料与动物有机地结合起来。饲料学重点掌握饲料的分类法与各种饲料的概念；掌握提高粗饲料营养价值的加工方法；掌握草粉类饲料的营养特性、饲用价值；掌握常见青绿饲料的营养特性、饲喂价值；掌握青贮饲料的青贮原理、青贮条件；掌握能量饲料的分类、常见能量饲料的营养特性及饲用价值；掌握蛋白质饲料分类、常见蛋白质饲料的营养特性及饲用价值；掌握常见矿物质饲料的营养特性和饲喂价值；掌握添加剂饲料的概念、分类及作用。</w:t>
      </w:r>
    </w:p>
    <w:p w:rsidR="00884A6E" w:rsidRDefault="00000000">
      <w:pPr>
        <w:spacing w:line="440" w:lineRule="exact"/>
        <w:rPr>
          <w:rFonts w:ascii="SimHei" w:eastAsia="SimHei" w:hAnsi="SimHei" w:cs="SimHei"/>
          <w:color w:val="000000" w:themeColor="text1"/>
          <w:sz w:val="28"/>
          <w:szCs w:val="28"/>
        </w:rPr>
      </w:pPr>
      <w:r>
        <w:rPr>
          <w:rFonts w:ascii="SimHei" w:eastAsia="SimHei" w:hAnsi="SimHei" w:cs="SimHei" w:hint="eastAsia"/>
          <w:color w:val="000000" w:themeColor="text1"/>
          <w:sz w:val="28"/>
          <w:szCs w:val="28"/>
        </w:rPr>
        <w:t>三、考试形式和试卷结构</w:t>
      </w:r>
    </w:p>
    <w:p w:rsidR="00884A6E" w:rsidRDefault="00000000">
      <w:pPr>
        <w:spacing w:line="440" w:lineRule="exact"/>
        <w:ind w:firstLineChars="200" w:firstLine="480"/>
        <w:rPr>
          <w:rFonts w:ascii="FangSong_GB2312" w:eastAsia="FangSong_GB2312" w:hAnsi="FangSong_GB2312" w:cs="FangSong_GB2312"/>
          <w:b/>
          <w:sz w:val="24"/>
          <w:szCs w:val="24"/>
        </w:rPr>
      </w:pPr>
      <w:r>
        <w:rPr>
          <w:rFonts w:ascii="FangSong_GB2312" w:eastAsia="FangSong_GB2312" w:hAnsi="FangSong_GB2312" w:cs="FangSong_GB2312" w:hint="eastAsia"/>
          <w:b/>
          <w:sz w:val="24"/>
          <w:szCs w:val="24"/>
        </w:rPr>
        <w:t>（一）试卷满分及考试时间</w:t>
      </w:r>
    </w:p>
    <w:p w:rsidR="00884A6E" w:rsidRDefault="007E5DBC" w:rsidP="007E5DBC">
      <w:pPr>
        <w:spacing w:line="440" w:lineRule="exact"/>
        <w:ind w:firstLineChars="200" w:firstLine="480"/>
        <w:rPr>
          <w:rFonts w:ascii="FangSong_GB2312" w:eastAsia="FangSong_GB2312" w:hAnsi="FangSong_GB2312" w:cs="FangSong_GB2312" w:hint="eastAsia"/>
          <w:sz w:val="24"/>
          <w:szCs w:val="24"/>
        </w:rPr>
      </w:pPr>
      <w:r>
        <w:rPr>
          <w:rFonts w:ascii="FangSong_GB2312" w:eastAsia="FangSong_GB2312" w:hAnsi="FangSong_GB2312" w:cs="FangSong_GB2312" w:hint="eastAsia"/>
          <w:sz w:val="24"/>
          <w:szCs w:val="24"/>
        </w:rPr>
        <w:t>本试卷满分为150分，考试时间为180分钟。（动物</w:t>
      </w:r>
      <w:r>
        <w:rPr>
          <w:rFonts w:ascii="FangSong_GB2312" w:eastAsia="FangSong_GB2312" w:hAnsi="FangSong_GB2312" w:cs="FangSong_GB2312" w:hint="eastAsia"/>
          <w:sz w:val="24"/>
          <w:szCs w:val="24"/>
        </w:rPr>
        <w:t>营养</w:t>
      </w:r>
      <w:r>
        <w:rPr>
          <w:rFonts w:ascii="FangSong_GB2312" w:eastAsia="FangSong_GB2312" w:hAnsi="FangSong_GB2312" w:cs="FangSong_GB2312" w:hint="eastAsia"/>
          <w:sz w:val="24"/>
          <w:szCs w:val="24"/>
        </w:rPr>
        <w:t>学为50分）</w:t>
      </w:r>
    </w:p>
    <w:p w:rsidR="00884A6E" w:rsidRDefault="00000000">
      <w:pPr>
        <w:spacing w:line="440" w:lineRule="exact"/>
        <w:ind w:firstLineChars="200" w:firstLine="480"/>
        <w:rPr>
          <w:rFonts w:ascii="FangSong_GB2312" w:eastAsia="FangSong_GB2312" w:hAnsi="FangSong_GB2312" w:cs="FangSong_GB2312"/>
          <w:b/>
          <w:sz w:val="24"/>
          <w:szCs w:val="24"/>
        </w:rPr>
      </w:pPr>
      <w:r>
        <w:rPr>
          <w:rFonts w:ascii="FangSong_GB2312" w:eastAsia="FangSong_GB2312" w:hAnsi="FangSong_GB2312" w:cs="FangSong_GB2312" w:hint="eastAsia"/>
          <w:b/>
          <w:sz w:val="24"/>
          <w:szCs w:val="24"/>
        </w:rPr>
        <w:t>（二）答题方式</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答题方式为闭卷、笔试。</w:t>
      </w:r>
    </w:p>
    <w:p w:rsidR="00884A6E" w:rsidRDefault="00000000">
      <w:pPr>
        <w:spacing w:line="440" w:lineRule="exact"/>
        <w:ind w:firstLineChars="200" w:firstLine="480"/>
        <w:rPr>
          <w:rFonts w:ascii="FangSong_GB2312" w:eastAsia="FangSong_GB2312" w:hAnsi="FangSong_GB2312" w:cs="FangSong_GB2312"/>
          <w:b/>
          <w:sz w:val="24"/>
          <w:szCs w:val="24"/>
        </w:rPr>
      </w:pPr>
      <w:r>
        <w:rPr>
          <w:rFonts w:ascii="FangSong_GB2312" w:eastAsia="FangSong_GB2312" w:hAnsi="FangSong_GB2312" w:cs="FangSong_GB2312" w:hint="eastAsia"/>
          <w:b/>
          <w:sz w:val="24"/>
          <w:szCs w:val="24"/>
        </w:rPr>
        <w:t>（三）试卷内容结构</w:t>
      </w:r>
    </w:p>
    <w:p w:rsidR="00884A6E" w:rsidRDefault="00000000">
      <w:pPr>
        <w:spacing w:line="440" w:lineRule="exact"/>
        <w:ind w:firstLine="42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《动物营养学》50分</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1、营养基础知识，12分左右</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2、营养素、营养研究方法、营养需要，24分左右</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3、营养知识拓展与综合运用：14分左右</w:t>
      </w:r>
    </w:p>
    <w:p w:rsidR="00884A6E" w:rsidRDefault="00000000">
      <w:pPr>
        <w:spacing w:line="440" w:lineRule="exact"/>
        <w:ind w:firstLineChars="200" w:firstLine="480"/>
        <w:rPr>
          <w:rFonts w:ascii="FangSong_GB2312" w:eastAsia="FangSong_GB2312" w:hAnsi="FangSong_GB2312" w:cs="FangSong_GB2312"/>
          <w:b/>
          <w:sz w:val="24"/>
          <w:szCs w:val="24"/>
        </w:rPr>
      </w:pPr>
      <w:r>
        <w:rPr>
          <w:rFonts w:ascii="FangSong_GB2312" w:eastAsia="FangSong_GB2312" w:hAnsi="FangSong_GB2312" w:cs="FangSong_GB2312" w:hint="eastAsia"/>
          <w:b/>
          <w:sz w:val="24"/>
          <w:szCs w:val="24"/>
        </w:rPr>
        <w:t>（四）试卷题型结构</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lastRenderedPageBreak/>
        <w:t>名词解释12分（4小题，每小题3分）</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简答题24分（3小题，每小题8分）</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分析题14分（1小题，每小题14分）</w:t>
      </w:r>
    </w:p>
    <w:p w:rsidR="00884A6E" w:rsidRDefault="00000000">
      <w:pPr>
        <w:spacing w:line="440" w:lineRule="exact"/>
        <w:rPr>
          <w:rFonts w:ascii="SimHei" w:eastAsia="SimHei" w:hAnsi="SimHei" w:cs="SimHei"/>
          <w:color w:val="000000" w:themeColor="text1"/>
          <w:sz w:val="28"/>
          <w:szCs w:val="28"/>
        </w:rPr>
      </w:pPr>
      <w:r>
        <w:rPr>
          <w:rFonts w:ascii="SimHei" w:eastAsia="SimHei" w:hAnsi="SimHei" w:cs="SimHei" w:hint="eastAsia"/>
          <w:color w:val="000000" w:themeColor="text1"/>
          <w:sz w:val="28"/>
          <w:szCs w:val="28"/>
        </w:rPr>
        <w:t>四、考查内容</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1、动物营养学</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（1）饲料与动物体的组成</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饲料、营养物质、营养的基本概念；概略养分分析方案中营养物质分类；动物体内与植物性饲料的化学成分的异同点。</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（2）采食、消化与吸收</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采食量、自由采食量、限制采食量等概念，消化率、表观消化率、真消化率等概念和计算公式，采食量与饲喂制度对应关系，简答影响采食量因素，简答影响消化率因素。</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（3）水与动物营养水的生理功能，动物体内水的来源和去路。</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（4）蛋白质营养</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蛋白质的组成与生理作用；必需氨基酸、非必需氨基酸、限制性氨基酸、氨基酸平衡、理想蛋白质、氨基酸互补作用、瘤胃降解蛋白质、瘤胃非降解蛋白质、过瘤胃蛋白质等基本概念；反刍动物蛋白质消化的优缺点，反刍动物利用非蛋白氮的原理和注意事项。提高饲料蛋白质营养价值的主要方法。</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（5）碳水化合物营养</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碳水化合物的营养生理功能；粗纤维对动物营养的有利及不利作用；影响动物对粗纤维利用的主要因素。反刍动物碳水化合物消化的特点。</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（6）脂肪营养</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脂类的组成与营养作用；必需脂肪酸的概念、作用与缺乏症。单胃动物和反刍动物对脂肪的消化吸收和代谢的异同。</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（7）能量</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饲料能量在动物体内的转化过程；饲料能量水平在畜牧业生产中的意义。</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（8）矿物质营养</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常量元素、微量元素的基本概念；主要常量元素以及主要微量元素的生理作</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用、典型缺乏症。</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（9）维生素营养</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维生素的基本概念及分类；脂溶性维生素及主要水溶性维生素的生理作用、</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典型缺乏症。</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lastRenderedPageBreak/>
        <w:t>（10）动物营养学研究方法</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化学分析、消化试验、代谢试验及平衡试验等概念、目的与方法；动物饲养试验的基本概念及应用；饲料能量利用效率的测定；单胃动物蛋白质营养价值评定体系；反刍动物蛋白质营养价值评定体系。</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（11）营养需要、饲养标准与日粮配合营养需要、饲养标准的概念，常用指标及衡量单位，测定动物营养需要的方法。饲养标准、日粮、平衡日粮、日粮配方等基本概念；设计日粮配方的基本原则。</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（12）动物营养研究进展</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微生态营养、营养与畜禽产品品质关系、营养与环保关系的研究意义。</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2、饲料学</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（1）饲料化学</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饲料中的碳水化合物、脂类及含氮化合物等的基本特性；抗营养因子的概念，饲料原料中主要抗营养因子的种类。</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（2）饲料分类</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国际饲料分类与编码、中国饲料分类与编码方法；分类依据和不同种类特点。</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（3）青绿饲料</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青绿饲料的概念，常见青绿饲料的营养特性。</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（4）青贮饲料</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常规青贮原理、步骤，青贮过程的营养物质变化、青贮饲料的营养价值、品质鉴定方法</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（5）粗饲料</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草粉类饲料的营养特性、饲用价值、粗饲料的加工调制方法。</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（6）能量饲料</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玉米、小麦、大麦、麸皮、米糠、油脂、乳清粉的的营养特性及饲喂价值。</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（7）蛋白饲料</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大豆、大豆饼粕、玉米蛋白粉、鱼粉、酵母饲料的营养特性和饲喂价值；尿素类NPN的合理使用。</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（8）矿物质饲料</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钙源饲料、磷源饲料种类和特点，沸石、稀土、膨润土的作用。</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（9）饲料添加剂</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饲料添加剂的分类、定义、作用与使用原则。酶制剂、抗生素饲料添加剂的意义、问</w:t>
      </w:r>
      <w:r>
        <w:rPr>
          <w:rFonts w:ascii="FangSong_GB2312" w:eastAsia="FangSong_GB2312" w:hAnsi="FangSong_GB2312" w:cs="FangSong_GB2312" w:hint="eastAsia"/>
          <w:sz w:val="24"/>
          <w:szCs w:val="24"/>
        </w:rPr>
        <w:lastRenderedPageBreak/>
        <w:t>题和合理应用技术。</w:t>
      </w:r>
    </w:p>
    <w:p w:rsidR="00884A6E" w:rsidRDefault="00000000">
      <w:pPr>
        <w:spacing w:line="440" w:lineRule="exact"/>
        <w:ind w:firstLineChars="200"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（10）饲料资源开发利用</w:t>
      </w:r>
    </w:p>
    <w:p w:rsidR="00884A6E" w:rsidRDefault="00000000">
      <w:pPr>
        <w:spacing w:line="440" w:lineRule="exact"/>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我国饲料资源现状，饲料资源开发利用的途径有那些</w:t>
      </w:r>
    </w:p>
    <w:p w:rsidR="00884A6E" w:rsidRDefault="00000000">
      <w:pPr>
        <w:spacing w:line="400" w:lineRule="exact"/>
        <w:rPr>
          <w:sz w:val="28"/>
          <w:szCs w:val="28"/>
        </w:rPr>
      </w:pPr>
      <w:r>
        <w:rPr>
          <w:rFonts w:hint="eastAsia"/>
          <w:sz w:val="28"/>
          <w:szCs w:val="28"/>
        </w:rPr>
        <w:t xml:space="preserve"> </w:t>
      </w:r>
    </w:p>
    <w:p w:rsidR="00884A6E" w:rsidRDefault="00884A6E">
      <w:pPr>
        <w:spacing w:line="400" w:lineRule="exact"/>
        <w:rPr>
          <w:sz w:val="28"/>
          <w:szCs w:val="28"/>
        </w:rPr>
      </w:pPr>
    </w:p>
    <w:p w:rsidR="00884A6E" w:rsidRDefault="00884A6E">
      <w:pPr>
        <w:spacing w:line="400" w:lineRule="exact"/>
        <w:rPr>
          <w:sz w:val="28"/>
          <w:szCs w:val="28"/>
        </w:rPr>
      </w:pPr>
    </w:p>
    <w:p w:rsidR="00884A6E" w:rsidRDefault="00884A6E">
      <w:pPr>
        <w:pStyle w:val="NormalWeb"/>
        <w:shd w:val="clear" w:color="auto" w:fill="FFFFFF"/>
        <w:spacing w:before="72"/>
        <w:ind w:firstLine="420"/>
        <w:rPr>
          <w:rFonts w:ascii="Times New Roman" w:hAnsi="Times New Roman" w:cs="Times New Roman"/>
          <w:kern w:val="2"/>
          <w:sz w:val="28"/>
          <w:szCs w:val="28"/>
        </w:rPr>
      </w:pPr>
    </w:p>
    <w:p w:rsidR="00884A6E" w:rsidRDefault="00000000">
      <w:pPr>
        <w:pStyle w:val="NormalWeb"/>
        <w:shd w:val="clear" w:color="auto" w:fill="FFFFFF"/>
        <w:spacing w:before="72"/>
        <w:ind w:firstLine="420"/>
        <w:rPr>
          <w:rFonts w:ascii="Times New Roman" w:hAnsi="Times New Roman" w:cs="Times New Roman"/>
          <w:kern w:val="2"/>
          <w:sz w:val="28"/>
          <w:szCs w:val="28"/>
        </w:rPr>
      </w:pPr>
      <w:r>
        <w:rPr>
          <w:rFonts w:ascii="Times New Roman" w:hAnsi="Times New Roman" w:cs="Times New Roman" w:hint="eastAsia"/>
          <w:kern w:val="2"/>
          <w:sz w:val="28"/>
          <w:szCs w:val="28"/>
        </w:rPr>
        <w:t xml:space="preserve">                                   </w:t>
      </w:r>
    </w:p>
    <w:sectPr w:rsidR="00884A6E">
      <w:footerReference w:type="default" r:id="rId7"/>
      <w:pgSz w:w="11906" w:h="16838"/>
      <w:pgMar w:top="1418" w:right="1474" w:bottom="1417" w:left="1474" w:header="851" w:footer="992" w:gutter="0"/>
      <w:pgNumType w:start="1"/>
      <w:cols w:space="425"/>
      <w:docGrid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CC0" w:rsidRDefault="00FE5CC0">
      <w:r>
        <w:separator/>
      </w:r>
    </w:p>
  </w:endnote>
  <w:endnote w:type="continuationSeparator" w:id="0">
    <w:p w:rsidR="00FE5CC0" w:rsidRDefault="00FE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Microsoft YaHei"/>
    <w:panose1 w:val="020B0604020202020204"/>
    <w:charset w:val="86"/>
    <w:family w:val="modern"/>
    <w:pitch w:val="default"/>
    <w:sig w:usb0="00000001" w:usb1="080E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A6E" w:rsidRDefault="00000000">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84A6E" w:rsidRDefault="00000000">
                          <w:pPr>
                            <w:pStyle w:val="Foote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CC0" w:rsidRDefault="00FE5CC0">
      <w:r>
        <w:separator/>
      </w:r>
    </w:p>
  </w:footnote>
  <w:footnote w:type="continuationSeparator" w:id="0">
    <w:p w:rsidR="00FE5CC0" w:rsidRDefault="00FE5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425"/>
  <w:drawingGridHorizontalSpacing w:val="96"/>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OGZmZWNjZTMzYjFiOTJlNjgzNzE1YWY4ZDE4MGU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4574"/>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D59BC"/>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7EC"/>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86EC4"/>
    <w:rsid w:val="005875D2"/>
    <w:rsid w:val="00587B52"/>
    <w:rsid w:val="00591027"/>
    <w:rsid w:val="005966FE"/>
    <w:rsid w:val="005A1FFB"/>
    <w:rsid w:val="005B765E"/>
    <w:rsid w:val="005C2757"/>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1CCF"/>
    <w:rsid w:val="006B6B31"/>
    <w:rsid w:val="006C150E"/>
    <w:rsid w:val="006D16CF"/>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611"/>
    <w:rsid w:val="007B5B1B"/>
    <w:rsid w:val="007B5E20"/>
    <w:rsid w:val="007C15FA"/>
    <w:rsid w:val="007C39AB"/>
    <w:rsid w:val="007C5D9D"/>
    <w:rsid w:val="007C67C1"/>
    <w:rsid w:val="007E2CF2"/>
    <w:rsid w:val="007E5DBC"/>
    <w:rsid w:val="007F6A41"/>
    <w:rsid w:val="008034E7"/>
    <w:rsid w:val="00810912"/>
    <w:rsid w:val="00826E54"/>
    <w:rsid w:val="0083460B"/>
    <w:rsid w:val="008375AE"/>
    <w:rsid w:val="008376DF"/>
    <w:rsid w:val="0084396E"/>
    <w:rsid w:val="00847B8E"/>
    <w:rsid w:val="00850FC0"/>
    <w:rsid w:val="00851026"/>
    <w:rsid w:val="00852944"/>
    <w:rsid w:val="00862F40"/>
    <w:rsid w:val="008656DD"/>
    <w:rsid w:val="008658BB"/>
    <w:rsid w:val="00876237"/>
    <w:rsid w:val="00884A6E"/>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952D5"/>
    <w:rsid w:val="009953AC"/>
    <w:rsid w:val="00995E03"/>
    <w:rsid w:val="009A0A83"/>
    <w:rsid w:val="009A26C0"/>
    <w:rsid w:val="009C0F1F"/>
    <w:rsid w:val="009C18D7"/>
    <w:rsid w:val="009D1B5C"/>
    <w:rsid w:val="009D24F1"/>
    <w:rsid w:val="009D31A4"/>
    <w:rsid w:val="009D60F1"/>
    <w:rsid w:val="009E560D"/>
    <w:rsid w:val="009E6BE9"/>
    <w:rsid w:val="009F2B66"/>
    <w:rsid w:val="009F5A08"/>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384"/>
    <w:rsid w:val="00B47726"/>
    <w:rsid w:val="00B51969"/>
    <w:rsid w:val="00B564FF"/>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4661D"/>
    <w:rsid w:val="00C606DC"/>
    <w:rsid w:val="00C71C1A"/>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6AC9"/>
    <w:rsid w:val="00CF16DE"/>
    <w:rsid w:val="00D01BCD"/>
    <w:rsid w:val="00D2031A"/>
    <w:rsid w:val="00D23B98"/>
    <w:rsid w:val="00D25397"/>
    <w:rsid w:val="00D42592"/>
    <w:rsid w:val="00D501D8"/>
    <w:rsid w:val="00D50F88"/>
    <w:rsid w:val="00D54F9E"/>
    <w:rsid w:val="00D604DE"/>
    <w:rsid w:val="00D640AD"/>
    <w:rsid w:val="00D7373B"/>
    <w:rsid w:val="00D74290"/>
    <w:rsid w:val="00D8154A"/>
    <w:rsid w:val="00DA0716"/>
    <w:rsid w:val="00DB2B3E"/>
    <w:rsid w:val="00DB3E7A"/>
    <w:rsid w:val="00DB5A20"/>
    <w:rsid w:val="00DD2F13"/>
    <w:rsid w:val="00DE2066"/>
    <w:rsid w:val="00DF202F"/>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4EE5"/>
    <w:rsid w:val="00E83972"/>
    <w:rsid w:val="00E916C8"/>
    <w:rsid w:val="00E9173A"/>
    <w:rsid w:val="00EB022D"/>
    <w:rsid w:val="00EC3C1E"/>
    <w:rsid w:val="00EC3D00"/>
    <w:rsid w:val="00EC4D3C"/>
    <w:rsid w:val="00ED0AB8"/>
    <w:rsid w:val="00EE25B4"/>
    <w:rsid w:val="00EE375E"/>
    <w:rsid w:val="00F0239A"/>
    <w:rsid w:val="00F07511"/>
    <w:rsid w:val="00F104C0"/>
    <w:rsid w:val="00F10666"/>
    <w:rsid w:val="00F106BD"/>
    <w:rsid w:val="00F1123C"/>
    <w:rsid w:val="00F17C2E"/>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E5CC0"/>
    <w:rsid w:val="00FF66DE"/>
    <w:rsid w:val="08DF50A2"/>
    <w:rsid w:val="098B4DCD"/>
    <w:rsid w:val="21FA741E"/>
    <w:rsid w:val="2489657E"/>
    <w:rsid w:val="2E993EE3"/>
    <w:rsid w:val="2F826A10"/>
    <w:rsid w:val="33933848"/>
    <w:rsid w:val="369A05DA"/>
    <w:rsid w:val="3BEF23F6"/>
    <w:rsid w:val="4059022B"/>
    <w:rsid w:val="473C455E"/>
    <w:rsid w:val="50EA68CF"/>
    <w:rsid w:val="5AE353A3"/>
    <w:rsid w:val="630044B5"/>
    <w:rsid w:val="6CE92287"/>
    <w:rsid w:val="705067E1"/>
    <w:rsid w:val="79913E0F"/>
    <w:rsid w:val="7DA7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2480EE"/>
  <w15:docId w15:val="{472F36A9-F1EC-0748-A9B9-523D0D71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imes New Roman" w:hAnsi="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qFormat/>
    <w:pPr>
      <w:spacing w:beforeLines="30" w:line="480" w:lineRule="exact"/>
      <w:ind w:firstLineChars="200" w:firstLine="520"/>
    </w:pPr>
    <w:rPr>
      <w:rFonts w:hAnsi="SimSun"/>
      <w:sz w:val="26"/>
      <w:szCs w:val="32"/>
    </w:rPr>
  </w:style>
  <w:style w:type="paragraph" w:styleId="BalloonText">
    <w:name w:val="Balloon Text"/>
    <w:basedOn w:val="Normal"/>
    <w:semiHidden/>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SimSun" w:hAnsi="SimSun" w:cs="SimSun"/>
      <w:kern w:val="0"/>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customStyle="1" w:styleId="HeaderChar">
    <w:name w:val="Header Char"/>
    <w:link w:val="Header"/>
    <w:qFormat/>
    <w:rPr>
      <w:kern w:val="2"/>
      <w:sz w:val="18"/>
      <w:szCs w:val="18"/>
    </w:rPr>
  </w:style>
  <w:style w:type="character" w:customStyle="1" w:styleId="FooterChar">
    <w:name w:val="Footer Char"/>
    <w:link w:val="Footer"/>
    <w:qFormat/>
    <w:rPr>
      <w:kern w:val="2"/>
      <w:sz w:val="18"/>
      <w:szCs w:val="18"/>
    </w:rPr>
  </w:style>
  <w:style w:type="character" w:customStyle="1" w:styleId="apple-converted-space">
    <w:name w:val="apple-converted-space"/>
    <w:basedOn w:val="DefaultParagraphFont"/>
    <w:qFormat/>
  </w:style>
  <w:style w:type="character" w:customStyle="1" w:styleId="BodyTextIndentChar">
    <w:name w:val="Body Text Indent Char"/>
    <w:link w:val="BodyTextIndent"/>
    <w:uiPriority w:val="99"/>
    <w:qFormat/>
    <w:rPr>
      <w:rFonts w:hAnsi="SimSun"/>
      <w:kern w:val="2"/>
      <w:sz w:val="26"/>
      <w:szCs w:val="32"/>
    </w:rPr>
  </w:style>
  <w:style w:type="paragraph" w:customStyle="1" w:styleId="Default">
    <w:name w:val="Default"/>
    <w:qFormat/>
    <w:pPr>
      <w:widowControl w:val="0"/>
      <w:autoSpaceDE w:val="0"/>
      <w:autoSpaceDN w:val="0"/>
      <w:adjustRightInd w:val="0"/>
    </w:pPr>
    <w:rPr>
      <w:rFonts w:ascii="FangSong_GB2312" w:hAnsi="FangSong_GB2312" w:cs="FangSong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315</Words>
  <Characters>1799</Characters>
  <Application>Microsoft Office Word</Application>
  <DocSecurity>0</DocSecurity>
  <Lines>14</Lines>
  <Paragraphs>4</Paragraphs>
  <ScaleCrop>false</ScaleCrop>
  <Company>湘潭大学研招办</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关于编制2002年硕士研究生招生专业目录的通知</dc:title>
  <dc:creator>李丽兰</dc:creator>
  <cp:lastModifiedBy>Tang, Xiongzhuo</cp:lastModifiedBy>
  <cp:revision>12</cp:revision>
  <cp:lastPrinted>2018-07-16T02:14:00Z</cp:lastPrinted>
  <dcterms:created xsi:type="dcterms:W3CDTF">2019-07-01T00:09:00Z</dcterms:created>
  <dcterms:modified xsi:type="dcterms:W3CDTF">2024-09-24T03:03:00Z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189B72B5FC424901AC551DA6CC6FECA0_13</vt:lpwstr>
  </property>
</Properties>
</file>