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79" w:right="2046" w:hanging="1236"/>
        <w:spacing w:before="128" w:line="342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59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机械设计（科目代码：</w:t>
      </w:r>
      <w:r>
        <w:rPr>
          <w:sz w:val="31"/>
          <w:szCs w:val="31"/>
          <w:spacing w:val="-40"/>
        </w:rPr>
        <w:t xml:space="preserve"> </w:t>
      </w:r>
      <w:r>
        <w:rPr>
          <w:sz w:val="31"/>
          <w:szCs w:val="31"/>
          <w:spacing w:val="-1"/>
        </w:rPr>
        <w:t>811）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96" w:firstLine="490"/>
        <w:spacing w:before="78" w:line="372" w:lineRule="auto"/>
        <w:rPr/>
      </w:pPr>
      <w:r>
        <w:rPr>
          <w:spacing w:val="-1"/>
        </w:rPr>
        <w:t>本考试大纲适用于报考郑州轻工业大学机械工程、智能制造工程、机械工程</w:t>
      </w:r>
      <w:r>
        <w:rPr>
          <w:spacing w:val="-2"/>
        </w:rPr>
        <w:t>（专业学位）、</w:t>
      </w:r>
      <w:r>
        <w:rPr/>
        <w:t xml:space="preserve"> </w:t>
      </w:r>
      <w:r>
        <w:rPr>
          <w:spacing w:val="-1"/>
        </w:rPr>
        <w:t>智能制造技术(专业学位)、机器人工程(专业学位)专业的硕士研</w:t>
      </w:r>
      <w:r>
        <w:rPr>
          <w:spacing w:val="-2"/>
        </w:rPr>
        <w:t>究生入学考试。</w:t>
      </w:r>
    </w:p>
    <w:p>
      <w:pPr>
        <w:pStyle w:val="BodyText"/>
        <w:spacing w:before="36" w:line="219" w:lineRule="auto"/>
        <w:outlineLvl w:val="1"/>
        <w:rPr/>
      </w:pPr>
      <w:r>
        <w:rPr>
          <w:spacing w:val="-3"/>
        </w:rPr>
        <w:t>一、考试内容及基本要求</w:t>
      </w:r>
    </w:p>
    <w:p>
      <w:pPr>
        <w:pStyle w:val="BodyText"/>
        <w:ind w:left="885"/>
        <w:spacing w:before="137" w:line="219" w:lineRule="auto"/>
        <w:outlineLvl w:val="2"/>
        <w:rPr/>
      </w:pPr>
      <w:r>
        <w:rPr>
          <w:spacing w:val="-3"/>
        </w:rPr>
        <w:t>1. 机械设计总论</w:t>
      </w:r>
    </w:p>
    <w:p>
      <w:pPr>
        <w:pStyle w:val="BodyText"/>
        <w:ind w:left="1401"/>
        <w:spacing w:before="28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7"/>
        </w:rPr>
        <w:t>（1）</w:t>
      </w:r>
      <w:r>
        <w:rPr>
          <w:rFonts w:ascii="Microsoft YaHei UI" w:hAnsi="Microsoft YaHei UI" w:eastAsia="Microsoft YaHei UI" w:cs="Microsoft YaHei UI"/>
          <w:sz w:val="21"/>
          <w:szCs w:val="21"/>
          <w:spacing w:val="14"/>
        </w:rPr>
        <w:t xml:space="preserve">   </w:t>
      </w:r>
      <w:r>
        <w:rPr>
          <w:spacing w:val="-7"/>
        </w:rPr>
        <w:t>设计机器的一般程序；</w:t>
      </w:r>
    </w:p>
    <w:p>
      <w:pPr>
        <w:pStyle w:val="BodyText"/>
        <w:ind w:left="1401"/>
        <w:spacing w:before="192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3"/>
        </w:rPr>
        <w:t>（2）   </w:t>
      </w:r>
      <w:r>
        <w:rPr>
          <w:spacing w:val="-3"/>
        </w:rPr>
        <w:t>机械零件的主要失效形式和计算准则；</w:t>
      </w:r>
    </w:p>
    <w:p>
      <w:pPr>
        <w:pStyle w:val="BodyText"/>
        <w:ind w:left="1401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（3）   </w:t>
      </w:r>
      <w:r>
        <w:rPr>
          <w:spacing w:val="-2"/>
        </w:rPr>
        <w:t>一般性的机械产品设计方法和新的设计方法。</w:t>
      </w:r>
    </w:p>
    <w:p>
      <w:pPr>
        <w:pStyle w:val="BodyText"/>
        <w:ind w:left="870"/>
        <w:spacing w:before="146" w:line="219" w:lineRule="auto"/>
        <w:outlineLvl w:val="2"/>
        <w:rPr/>
      </w:pPr>
      <w:r>
        <w:rPr>
          <w:spacing w:val="-2"/>
        </w:rPr>
        <w:t>2. 机械零件的强度</w:t>
      </w:r>
    </w:p>
    <w:p>
      <w:pPr>
        <w:pStyle w:val="BodyText"/>
        <w:ind w:left="1401"/>
        <w:spacing w:before="259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9"/>
        </w:rPr>
        <w:t>（1）</w:t>
      </w:r>
      <w:r>
        <w:rPr>
          <w:rFonts w:ascii="Microsoft YaHei UI" w:hAnsi="Microsoft YaHei UI" w:eastAsia="Microsoft YaHei UI" w:cs="Microsoft YaHei UI"/>
          <w:sz w:val="21"/>
          <w:szCs w:val="21"/>
          <w:spacing w:val="15"/>
        </w:rPr>
        <w:t xml:space="preserve">   </w:t>
      </w:r>
      <w:r>
        <w:rPr>
          <w:spacing w:val="-9"/>
        </w:rPr>
        <w:t>材料的疲劳特性；</w:t>
      </w:r>
    </w:p>
    <w:p>
      <w:pPr>
        <w:pStyle w:val="BodyText"/>
        <w:ind w:left="1401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7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16"/>
        </w:rPr>
        <w:t xml:space="preserve">   </w:t>
      </w:r>
      <w:r>
        <w:rPr>
          <w:spacing w:val="-7"/>
        </w:rPr>
        <w:t>机械零件的疲劳强度计算；</w:t>
      </w:r>
    </w:p>
    <w:p>
      <w:pPr>
        <w:pStyle w:val="BodyText"/>
        <w:ind w:left="1401"/>
        <w:spacing w:before="192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7"/>
        </w:rPr>
        <w:t>（3）</w:t>
      </w:r>
      <w:r>
        <w:rPr>
          <w:rFonts w:ascii="Microsoft YaHei UI" w:hAnsi="Microsoft YaHei UI" w:eastAsia="Microsoft YaHei UI" w:cs="Microsoft YaHei UI"/>
          <w:sz w:val="21"/>
          <w:szCs w:val="21"/>
          <w:spacing w:val="14"/>
        </w:rPr>
        <w:t xml:space="preserve">   </w:t>
      </w:r>
      <w:r>
        <w:rPr>
          <w:spacing w:val="-7"/>
        </w:rPr>
        <w:t>机械零件的抗断裂强度；</w:t>
      </w:r>
    </w:p>
    <w:p>
      <w:pPr>
        <w:pStyle w:val="BodyText"/>
        <w:ind w:left="1401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6"/>
        </w:rPr>
        <w:t>（4）</w:t>
      </w:r>
      <w:r>
        <w:rPr>
          <w:rFonts w:ascii="Microsoft YaHei UI" w:hAnsi="Microsoft YaHei UI" w:eastAsia="Microsoft YaHei UI" w:cs="Microsoft YaHei UI"/>
          <w:sz w:val="21"/>
          <w:szCs w:val="21"/>
          <w:spacing w:val="14"/>
        </w:rPr>
        <w:t xml:space="preserve">   </w:t>
      </w:r>
      <w:r>
        <w:rPr>
          <w:spacing w:val="-6"/>
        </w:rPr>
        <w:t>机械零件的接触强度。</w:t>
      </w:r>
    </w:p>
    <w:p>
      <w:pPr>
        <w:pStyle w:val="BodyText"/>
        <w:ind w:left="872"/>
        <w:spacing w:before="143" w:line="220" w:lineRule="auto"/>
        <w:outlineLvl w:val="2"/>
        <w:rPr/>
      </w:pPr>
      <w:r>
        <w:rPr>
          <w:spacing w:val="-2"/>
        </w:rPr>
        <w:t>3. 摩擦磨损及润滑</w:t>
      </w:r>
    </w:p>
    <w:p>
      <w:pPr>
        <w:pStyle w:val="BodyText"/>
        <w:ind w:left="1401"/>
        <w:spacing w:before="258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6"/>
        </w:rPr>
        <w:t>（1）</w:t>
      </w:r>
      <w:r>
        <w:rPr>
          <w:rFonts w:ascii="Microsoft YaHei UI" w:hAnsi="Microsoft YaHei UI" w:eastAsia="Microsoft YaHei UI" w:cs="Microsoft YaHei UI"/>
          <w:sz w:val="21"/>
          <w:szCs w:val="21"/>
          <w:spacing w:val="15"/>
        </w:rPr>
        <w:t xml:space="preserve">   </w:t>
      </w:r>
      <w:r>
        <w:rPr>
          <w:spacing w:val="-6"/>
        </w:rPr>
        <w:t>摩擦、磨损种类及其基本性质；</w:t>
      </w:r>
    </w:p>
    <w:p>
      <w:pPr>
        <w:pStyle w:val="BodyText"/>
        <w:ind w:left="1401"/>
        <w:spacing w:before="192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5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14"/>
        </w:rPr>
        <w:t xml:space="preserve">   </w:t>
      </w:r>
      <w:r>
        <w:rPr>
          <w:spacing w:val="-5"/>
        </w:rPr>
        <w:t>润滑剂、添加剂和润滑方法。</w:t>
      </w:r>
    </w:p>
    <w:p>
      <w:pPr>
        <w:pStyle w:val="BodyText"/>
        <w:ind w:left="866"/>
        <w:spacing w:before="149" w:line="219" w:lineRule="auto"/>
        <w:outlineLvl w:val="2"/>
        <w:rPr/>
      </w:pPr>
      <w:r>
        <w:rPr>
          <w:spacing w:val="-1"/>
        </w:rPr>
        <w:t>4. 螺纹连接和螺旋传动</w:t>
      </w:r>
    </w:p>
    <w:p>
      <w:pPr>
        <w:pStyle w:val="BodyText"/>
        <w:ind w:left="2135" w:right="373" w:hanging="734"/>
        <w:spacing w:before="259" w:line="280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</w:rPr>
        <w:t>（1）   </w:t>
      </w:r>
      <w:r>
        <w:rPr/>
        <w:t>螺纹的基本知识:螺纹和螺纹联接件的类型、结构、特点、标准、</w:t>
      </w:r>
      <w:r>
        <w:rPr>
          <w:spacing w:val="-1"/>
        </w:rPr>
        <w:t>应用场合及</w:t>
      </w:r>
      <w:r>
        <w:rPr/>
        <w:t xml:space="preserve"> </w:t>
      </w:r>
      <w:r>
        <w:rPr>
          <w:spacing w:val="-11"/>
        </w:rPr>
        <w:t>选用原则；</w:t>
      </w:r>
    </w:p>
    <w:p>
      <w:pPr>
        <w:pStyle w:val="BodyText"/>
        <w:ind w:left="1401"/>
        <w:spacing w:before="259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（2）   </w:t>
      </w:r>
      <w:r>
        <w:rPr>
          <w:spacing w:val="-2"/>
        </w:rPr>
        <w:t>螺纹联接的强度计算，主要是紧联接的强度计</w:t>
      </w:r>
      <w:r>
        <w:rPr>
          <w:spacing w:val="-3"/>
        </w:rPr>
        <w:t>算；</w:t>
      </w:r>
    </w:p>
    <w:p>
      <w:pPr>
        <w:pStyle w:val="BodyText"/>
        <w:ind w:left="1401"/>
        <w:spacing w:before="194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（3）   </w:t>
      </w:r>
      <w:r>
        <w:rPr>
          <w:spacing w:val="-2"/>
        </w:rPr>
        <w:t>螺纹联接的防松原理和措施以及提高螺栓联接强度的措施；</w:t>
      </w:r>
    </w:p>
    <w:p>
      <w:pPr>
        <w:pStyle w:val="BodyText"/>
        <w:ind w:left="1401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1"/>
        </w:rPr>
        <w:t>（4）   </w:t>
      </w:r>
      <w:r>
        <w:rPr>
          <w:spacing w:val="-1"/>
        </w:rPr>
        <w:t>螺栓组的受力分析、失效形式分析及相应</w:t>
      </w:r>
      <w:r>
        <w:rPr>
          <w:spacing w:val="-2"/>
        </w:rPr>
        <w:t>的设计、计算。</w:t>
      </w:r>
    </w:p>
    <w:p>
      <w:pPr>
        <w:pStyle w:val="BodyText"/>
        <w:ind w:left="872"/>
        <w:spacing w:before="149" w:line="220" w:lineRule="auto"/>
        <w:outlineLvl w:val="2"/>
        <w:rPr/>
      </w:pPr>
      <w:r>
        <w:rPr>
          <w:spacing w:val="-1"/>
        </w:rPr>
        <w:t>5. 键、花键、无键连接和销联接</w:t>
      </w:r>
    </w:p>
    <w:p>
      <w:pPr>
        <w:pStyle w:val="BodyText"/>
        <w:ind w:left="1401"/>
        <w:spacing w:before="226" w:line="219" w:lineRule="auto"/>
        <w:outlineLvl w:val="3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（1）   </w:t>
      </w:r>
      <w:r>
        <w:rPr>
          <w:spacing w:val="-2"/>
        </w:rPr>
        <w:t>普通平键、花键、销联接的类型、工作原理、结构形式和应用；</w:t>
      </w:r>
    </w:p>
    <w:p>
      <w:pPr>
        <w:spacing w:line="219" w:lineRule="auto"/>
        <w:sectPr>
          <w:pgSz w:w="11907" w:h="16839"/>
          <w:pgMar w:top="1431" w:right="683" w:bottom="0" w:left="680" w:header="0" w:footer="0" w:gutter="0"/>
        </w:sectPr>
        <w:rPr/>
      </w:pPr>
    </w:p>
    <w:p>
      <w:pPr>
        <w:pStyle w:val="BodyText"/>
        <w:ind w:left="533"/>
        <w:spacing w:before="10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1"/>
        </w:rPr>
        <w:t>（2）   </w:t>
      </w:r>
      <w:r>
        <w:rPr>
          <w:spacing w:val="-1"/>
        </w:rPr>
        <w:t>普通平键、销联接尺寸的确定方法、失效形式、强度</w:t>
      </w:r>
      <w:r>
        <w:rPr>
          <w:spacing w:val="-2"/>
        </w:rPr>
        <w:t>校核方法。</w:t>
      </w:r>
    </w:p>
    <w:p>
      <w:pPr>
        <w:pStyle w:val="BodyText"/>
        <w:spacing w:before="146" w:line="219" w:lineRule="auto"/>
        <w:outlineLvl w:val="2"/>
        <w:rPr/>
      </w:pPr>
      <w:r>
        <w:rPr>
          <w:spacing w:val="-5"/>
        </w:rPr>
        <w:t>6.</w:t>
      </w:r>
      <w:r>
        <w:rPr>
          <w:spacing w:val="17"/>
        </w:rPr>
        <w:t xml:space="preserve"> </w:t>
      </w:r>
      <w:r>
        <w:rPr>
          <w:spacing w:val="-5"/>
        </w:rPr>
        <w:t>带传动</w:t>
      </w:r>
    </w:p>
    <w:p>
      <w:pPr>
        <w:pStyle w:val="BodyText"/>
        <w:ind w:left="533"/>
        <w:spacing w:before="256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8"/>
        </w:rPr>
        <w:t>（1）</w:t>
      </w:r>
      <w:r>
        <w:rPr>
          <w:rFonts w:ascii="Microsoft YaHei UI" w:hAnsi="Microsoft YaHei UI" w:eastAsia="Microsoft YaHei UI" w:cs="Microsoft YaHei UI"/>
          <w:sz w:val="21"/>
          <w:szCs w:val="21"/>
          <w:spacing w:val="16"/>
          <w:w w:val="101"/>
        </w:rPr>
        <w:t xml:space="preserve">   </w:t>
      </w:r>
      <w:r>
        <w:rPr>
          <w:spacing w:val="-8"/>
        </w:rPr>
        <w:t>带传动工作情况分析；</w:t>
      </w:r>
    </w:p>
    <w:p>
      <w:pPr>
        <w:pStyle w:val="BodyText"/>
        <w:ind w:left="533"/>
        <w:spacing w:before="193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9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13"/>
        </w:rPr>
        <w:t xml:space="preserve">   </w:t>
      </w:r>
      <w:r>
        <w:rPr>
          <w:spacing w:val="-9"/>
        </w:rPr>
        <w:t>V</w:t>
      </w:r>
      <w:r>
        <w:rPr>
          <w:spacing w:val="-42"/>
        </w:rPr>
        <w:t xml:space="preserve"> </w:t>
      </w:r>
      <w:r>
        <w:rPr>
          <w:spacing w:val="-9"/>
        </w:rPr>
        <w:t>带传动设计计算；</w:t>
      </w:r>
    </w:p>
    <w:p>
      <w:pPr>
        <w:pStyle w:val="BodyText"/>
        <w:ind w:left="533"/>
        <w:spacing w:before="193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1"/>
        </w:rPr>
        <w:t>（3）   </w:t>
      </w:r>
      <w:r>
        <w:rPr>
          <w:spacing w:val="-1"/>
        </w:rPr>
        <w:t>V</w:t>
      </w:r>
      <w:r>
        <w:rPr>
          <w:spacing w:val="-44"/>
        </w:rPr>
        <w:t xml:space="preserve"> </w:t>
      </w:r>
      <w:r>
        <w:rPr>
          <w:spacing w:val="-1"/>
        </w:rPr>
        <w:t>带传动的张紧、安装与防护。</w:t>
      </w:r>
    </w:p>
    <w:p>
      <w:pPr>
        <w:pStyle w:val="BodyText"/>
        <w:ind w:left="4"/>
        <w:spacing w:before="151" w:line="219" w:lineRule="auto"/>
        <w:outlineLvl w:val="2"/>
        <w:rPr/>
      </w:pPr>
      <w:r>
        <w:rPr>
          <w:spacing w:val="-5"/>
        </w:rPr>
        <w:t>7.</w:t>
      </w:r>
      <w:r>
        <w:rPr>
          <w:spacing w:val="11"/>
        </w:rPr>
        <w:t xml:space="preserve"> </w:t>
      </w:r>
      <w:r>
        <w:rPr>
          <w:spacing w:val="-5"/>
        </w:rPr>
        <w:t>链传动</w:t>
      </w:r>
    </w:p>
    <w:p>
      <w:pPr>
        <w:pStyle w:val="BodyText"/>
        <w:ind w:left="533"/>
        <w:spacing w:before="261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（1）   </w:t>
      </w:r>
      <w:r>
        <w:rPr>
          <w:spacing w:val="-2"/>
        </w:rPr>
        <w:t>链传动工作原理、机构特点及应用，套筒滚子链的标准、规格和结构；</w:t>
      </w:r>
    </w:p>
    <w:p>
      <w:pPr>
        <w:pStyle w:val="BodyText"/>
        <w:ind w:left="533"/>
        <w:spacing w:before="193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（2）   </w:t>
      </w:r>
      <w:r>
        <w:rPr>
          <w:spacing w:val="-2"/>
        </w:rPr>
        <w:t>链传动的运动不均匀性产生的原因、动载荷产生的原因；</w:t>
      </w:r>
    </w:p>
    <w:p>
      <w:pPr>
        <w:pStyle w:val="BodyText"/>
        <w:ind w:left="533"/>
        <w:spacing w:before="194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（3）   </w:t>
      </w:r>
      <w:r>
        <w:rPr>
          <w:spacing w:val="-2"/>
        </w:rPr>
        <w:t>套筒滚子链传动的失效形式、设计准则、参数选择及计算方法；</w:t>
      </w:r>
    </w:p>
    <w:p>
      <w:pPr>
        <w:pStyle w:val="BodyText"/>
        <w:ind w:left="533"/>
        <w:spacing w:before="193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5"/>
        </w:rPr>
        <w:t>（4）</w:t>
      </w:r>
      <w:r>
        <w:rPr>
          <w:rFonts w:ascii="Microsoft YaHei UI" w:hAnsi="Microsoft YaHei UI" w:eastAsia="Microsoft YaHei UI" w:cs="Microsoft YaHei UI"/>
          <w:sz w:val="21"/>
          <w:szCs w:val="21"/>
          <w:spacing w:val="17"/>
          <w:w w:val="101"/>
        </w:rPr>
        <w:t xml:space="preserve">   </w:t>
      </w:r>
      <w:r>
        <w:rPr>
          <w:spacing w:val="-5"/>
        </w:rPr>
        <w:t>链传动的合理布置、润滑和张紧。</w:t>
      </w:r>
    </w:p>
    <w:p>
      <w:pPr>
        <w:pStyle w:val="BodyText"/>
        <w:spacing w:before="146" w:line="219" w:lineRule="auto"/>
        <w:outlineLvl w:val="2"/>
        <w:rPr/>
      </w:pPr>
      <w:r>
        <w:rPr>
          <w:spacing w:val="-4"/>
        </w:rPr>
        <w:t>8.</w:t>
      </w:r>
      <w:r>
        <w:rPr>
          <w:spacing w:val="15"/>
        </w:rPr>
        <w:t xml:space="preserve"> </w:t>
      </w:r>
      <w:r>
        <w:rPr>
          <w:spacing w:val="-4"/>
        </w:rPr>
        <w:t>齿轮传动</w:t>
      </w:r>
    </w:p>
    <w:p>
      <w:pPr>
        <w:pStyle w:val="BodyText"/>
        <w:ind w:left="533"/>
        <w:spacing w:before="261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1"/>
        </w:rPr>
        <w:t>（1）   </w:t>
      </w:r>
      <w:r>
        <w:rPr>
          <w:spacing w:val="-1"/>
        </w:rPr>
        <w:t>齿轮传动分类、特点(与带传动、链传</w:t>
      </w:r>
      <w:r>
        <w:rPr>
          <w:spacing w:val="-2"/>
        </w:rPr>
        <w:t>动优缺点的比较)及应用场合；</w:t>
      </w:r>
    </w:p>
    <w:p>
      <w:pPr>
        <w:pStyle w:val="BodyText"/>
        <w:ind w:left="533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6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17"/>
        </w:rPr>
        <w:t xml:space="preserve">   </w:t>
      </w:r>
      <w:r>
        <w:rPr>
          <w:spacing w:val="-6"/>
        </w:rPr>
        <w:t>齿轮传动的主要参数和制造精度；</w:t>
      </w:r>
    </w:p>
    <w:p>
      <w:pPr>
        <w:pStyle w:val="BodyText"/>
        <w:ind w:left="533"/>
        <w:spacing w:before="192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（3）   </w:t>
      </w:r>
      <w:r>
        <w:rPr>
          <w:spacing w:val="-2"/>
        </w:rPr>
        <w:t>齿轮传动失效形式，失效机理和特点，防止措施，设计计算准则；</w:t>
      </w:r>
    </w:p>
    <w:p>
      <w:pPr>
        <w:pStyle w:val="BodyText"/>
        <w:ind w:left="533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（4）   </w:t>
      </w:r>
      <w:r>
        <w:rPr>
          <w:spacing w:val="-2"/>
        </w:rPr>
        <w:t>齿轮传动的动力分析与计算，各种载荷系数的物理意义和影响因素；</w:t>
      </w:r>
    </w:p>
    <w:p>
      <w:pPr>
        <w:pStyle w:val="BodyText"/>
        <w:ind w:left="1269" w:right="120" w:hanging="736"/>
        <w:spacing w:before="194" w:line="280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</w:rPr>
        <w:t>（5）   </w:t>
      </w:r>
      <w:r>
        <w:rPr/>
        <w:t>齿轮传动齿面接触强度和齿根弯曲强度的基本理论依据，力学模</w:t>
      </w:r>
      <w:r>
        <w:rPr>
          <w:spacing w:val="-1"/>
        </w:rPr>
        <w:t>型、应力变</w:t>
      </w:r>
      <w:r>
        <w:rPr/>
        <w:t xml:space="preserve"> </w:t>
      </w:r>
      <w:r>
        <w:rPr>
          <w:spacing w:val="-5"/>
        </w:rPr>
        <w:t>化特点、计算公式等。</w:t>
      </w:r>
    </w:p>
    <w:p>
      <w:pPr>
        <w:pStyle w:val="BodyText"/>
        <w:spacing w:before="211" w:line="219" w:lineRule="auto"/>
        <w:outlineLvl w:val="2"/>
        <w:rPr/>
      </w:pPr>
      <w:r>
        <w:rPr>
          <w:spacing w:val="-2"/>
        </w:rPr>
        <w:t>9. 蜗杆传动</w:t>
      </w:r>
    </w:p>
    <w:p>
      <w:pPr>
        <w:pStyle w:val="BodyText"/>
        <w:ind w:left="533"/>
        <w:spacing w:before="258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6"/>
        </w:rPr>
        <w:t>（1）</w:t>
      </w:r>
      <w:r>
        <w:rPr>
          <w:rFonts w:ascii="Microsoft YaHei UI" w:hAnsi="Microsoft YaHei UI" w:eastAsia="Microsoft YaHei UI" w:cs="Microsoft YaHei UI"/>
          <w:sz w:val="21"/>
          <w:szCs w:val="21"/>
          <w:spacing w:val="13"/>
        </w:rPr>
        <w:t xml:space="preserve">   </w:t>
      </w:r>
      <w:r>
        <w:rPr>
          <w:spacing w:val="-6"/>
        </w:rPr>
        <w:t>蜗杆传动分类、特点及应用；</w:t>
      </w:r>
    </w:p>
    <w:p>
      <w:pPr>
        <w:pStyle w:val="BodyText"/>
        <w:ind w:left="533"/>
        <w:spacing w:before="196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6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15"/>
        </w:rPr>
        <w:t xml:space="preserve">   </w:t>
      </w:r>
      <w:r>
        <w:rPr>
          <w:spacing w:val="-6"/>
        </w:rPr>
        <w:t>蜗杆传动主要参数选择及计算；</w:t>
      </w:r>
    </w:p>
    <w:p>
      <w:pPr>
        <w:pStyle w:val="BodyText"/>
        <w:ind w:left="533"/>
        <w:spacing w:before="192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8"/>
        </w:rPr>
        <w:t>（3）</w:t>
      </w:r>
      <w:r>
        <w:rPr>
          <w:rFonts w:ascii="Microsoft YaHei UI" w:hAnsi="Microsoft YaHei UI" w:eastAsia="Microsoft YaHei UI" w:cs="Microsoft YaHei UI"/>
          <w:sz w:val="21"/>
          <w:szCs w:val="21"/>
          <w:spacing w:val="14"/>
        </w:rPr>
        <w:t xml:space="preserve">   </w:t>
      </w:r>
      <w:r>
        <w:rPr>
          <w:spacing w:val="-8"/>
        </w:rPr>
        <w:t>蜗杆传动动力分析；</w:t>
      </w:r>
    </w:p>
    <w:p>
      <w:pPr>
        <w:pStyle w:val="BodyText"/>
        <w:ind w:left="1268" w:hanging="735"/>
        <w:spacing w:before="193" w:line="281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1"/>
        </w:rPr>
        <w:t>（4）   </w:t>
      </w:r>
      <w:r>
        <w:rPr>
          <w:spacing w:val="-1"/>
        </w:rPr>
        <w:t>蜗杆传动失效形式、材料选择及强度计算</w:t>
      </w:r>
      <w:r>
        <w:rPr>
          <w:spacing w:val="-71"/>
        </w:rPr>
        <w:t xml:space="preserve"> </w:t>
      </w:r>
      <w:r>
        <w:rPr>
          <w:spacing w:val="-1"/>
        </w:rPr>
        <w:t>;蜗杆</w:t>
      </w:r>
      <w:r>
        <w:rPr>
          <w:spacing w:val="-2"/>
        </w:rPr>
        <w:t>传动的润滑、效率计算和热平</w:t>
      </w:r>
      <w:r>
        <w:rPr/>
        <w:t xml:space="preserve"> </w:t>
      </w:r>
      <w:r>
        <w:rPr>
          <w:spacing w:val="-9"/>
        </w:rPr>
        <w:t>衡计算。</w:t>
      </w:r>
    </w:p>
    <w:p>
      <w:pPr>
        <w:pStyle w:val="BodyText"/>
        <w:ind w:left="16"/>
        <w:spacing w:before="212" w:line="219" w:lineRule="auto"/>
        <w:outlineLvl w:val="2"/>
        <w:rPr/>
      </w:pPr>
      <w:r>
        <w:rPr>
          <w:spacing w:val="-4"/>
        </w:rPr>
        <w:t>10.滑动轴承</w:t>
      </w:r>
    </w:p>
    <w:p>
      <w:pPr>
        <w:pStyle w:val="BodyText"/>
        <w:ind w:left="533"/>
        <w:spacing w:before="258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4"/>
        </w:rPr>
        <w:t>（1）   </w:t>
      </w:r>
      <w:r>
        <w:rPr>
          <w:spacing w:val="-4"/>
        </w:rPr>
        <w:t>滑动轴承特点、应用及常用形式；</w:t>
      </w:r>
    </w:p>
    <w:p>
      <w:pPr>
        <w:pStyle w:val="BodyText"/>
        <w:ind w:left="533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3"/>
        </w:rPr>
        <w:t>（2）   </w:t>
      </w:r>
      <w:r>
        <w:rPr>
          <w:spacing w:val="-3"/>
        </w:rPr>
        <w:t>非液体摩擦滑动轴承结构设计、材料及设计步骤；</w:t>
      </w:r>
    </w:p>
    <w:p>
      <w:pPr>
        <w:spacing w:line="219" w:lineRule="auto"/>
        <w:sectPr>
          <w:pgSz w:w="11907" w:h="16839"/>
          <w:pgMar w:top="1431" w:right="1057" w:bottom="0" w:left="1549" w:header="0" w:footer="0" w:gutter="0"/>
        </w:sectPr>
        <w:rPr/>
      </w:pPr>
    </w:p>
    <w:p>
      <w:pPr>
        <w:pStyle w:val="BodyText"/>
        <w:ind w:left="1680" w:hanging="729"/>
        <w:spacing w:before="104" w:line="280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</w:rPr>
        <w:t>（3）   </w:t>
      </w:r>
      <w:r>
        <w:rPr/>
        <w:t>滑动轴承的工作状况建立力学模型的条件</w:t>
      </w:r>
      <w:r>
        <w:rPr>
          <w:spacing w:val="-1"/>
        </w:rPr>
        <w:t>，雷诺流体动力方程的推导，动力</w:t>
      </w:r>
      <w:r>
        <w:rPr/>
        <w:t xml:space="preserve"> </w:t>
      </w:r>
      <w:r>
        <w:rPr>
          <w:spacing w:val="-5"/>
        </w:rPr>
        <w:t>油膜形成原理及其相应条件；</w:t>
      </w:r>
    </w:p>
    <w:p>
      <w:pPr>
        <w:pStyle w:val="BodyText"/>
        <w:ind w:left="434" w:right="4114" w:firstLine="516"/>
        <w:spacing w:before="257" w:line="273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3"/>
        </w:rPr>
        <w:t>（4）   </w:t>
      </w:r>
      <w:r>
        <w:rPr>
          <w:spacing w:val="-3"/>
        </w:rPr>
        <w:t>液体摩擦动压向心滑动轴承的设计。</w:t>
      </w:r>
      <w:r>
        <w:rPr>
          <w:spacing w:val="16"/>
        </w:rPr>
        <w:t xml:space="preserve"> </w:t>
      </w:r>
      <w:r>
        <w:rPr>
          <w:spacing w:val="-4"/>
        </w:rPr>
        <w:t>11.滚动轴承</w:t>
      </w:r>
    </w:p>
    <w:p>
      <w:pPr>
        <w:pStyle w:val="BodyText"/>
        <w:ind w:left="951"/>
        <w:spacing w:before="260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（1）   </w:t>
      </w:r>
      <w:r>
        <w:rPr>
          <w:spacing w:val="-2"/>
        </w:rPr>
        <w:t>滚动轴承特点、应用、类型、代号，选择滚动轴承的原则和方法；</w:t>
      </w:r>
    </w:p>
    <w:p>
      <w:pPr>
        <w:pStyle w:val="BodyText"/>
        <w:ind w:left="951"/>
        <w:spacing w:before="195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2"/>
        </w:rPr>
        <w:t>（2）   </w:t>
      </w:r>
      <w:r>
        <w:rPr>
          <w:spacing w:val="-2"/>
        </w:rPr>
        <w:t>滚动轴承失效形式，滚动轴承基本额定寿命、基本额定动载荷的概念；</w:t>
      </w:r>
    </w:p>
    <w:p>
      <w:pPr>
        <w:pStyle w:val="BodyText"/>
        <w:ind w:left="951"/>
        <w:spacing w:before="192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3"/>
        </w:rPr>
        <w:t>（3）   </w:t>
      </w:r>
      <w:r>
        <w:rPr>
          <w:spacing w:val="-3"/>
        </w:rPr>
        <w:t>滚动轴承当量动载荷及轴承寿命的计算；</w:t>
      </w:r>
    </w:p>
    <w:p>
      <w:pPr>
        <w:pStyle w:val="BodyText"/>
        <w:ind w:left="1696" w:hanging="745"/>
        <w:spacing w:before="196" w:line="280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</w:rPr>
        <w:t>（4）   </w:t>
      </w:r>
      <w:r>
        <w:rPr/>
        <w:t>滚动轴承的组合结构设计，轴的支承结构</w:t>
      </w:r>
      <w:r>
        <w:rPr>
          <w:spacing w:val="-1"/>
        </w:rPr>
        <w:t>形式、轴承的定位及固定，内外圈</w:t>
      </w:r>
      <w:r>
        <w:rPr/>
        <w:t xml:space="preserve"> </w:t>
      </w:r>
      <w:r>
        <w:rPr>
          <w:spacing w:val="-2"/>
        </w:rPr>
        <w:t>的配合，装拆要求，轴承的预紧及间隙调整，轴承的润</w:t>
      </w:r>
      <w:r>
        <w:rPr>
          <w:spacing w:val="-3"/>
        </w:rPr>
        <w:t>滑和密封。</w:t>
      </w:r>
    </w:p>
    <w:p>
      <w:pPr>
        <w:pStyle w:val="BodyText"/>
        <w:ind w:left="434"/>
        <w:spacing w:before="212" w:line="219" w:lineRule="auto"/>
        <w:rPr/>
      </w:pPr>
      <w:r>
        <w:rPr>
          <w:spacing w:val="-5"/>
        </w:rPr>
        <w:t>12.联轴器</w:t>
      </w:r>
    </w:p>
    <w:p>
      <w:pPr>
        <w:pStyle w:val="BodyText"/>
        <w:ind w:left="951"/>
        <w:spacing w:before="256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3"/>
        </w:rPr>
        <w:t>（1）   </w:t>
      </w:r>
      <w:r>
        <w:rPr>
          <w:spacing w:val="-3"/>
        </w:rPr>
        <w:t>联轴器、离合器的特点、常用类型；</w:t>
      </w:r>
    </w:p>
    <w:p>
      <w:pPr>
        <w:pStyle w:val="BodyText"/>
        <w:ind w:left="434" w:right="6034" w:firstLine="516"/>
        <w:spacing w:before="195" w:line="272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7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9"/>
        </w:rPr>
        <w:t xml:space="preserve">   </w:t>
      </w:r>
      <w:r>
        <w:rPr>
          <w:spacing w:val="-7"/>
        </w:rPr>
        <w:t>联轴器选择方法。</w:t>
      </w:r>
      <w:r>
        <w:rPr/>
        <w:t xml:space="preserve"> </w:t>
      </w:r>
      <w:r>
        <w:rPr>
          <w:spacing w:val="-7"/>
        </w:rPr>
        <w:t>13.轴</w:t>
      </w:r>
    </w:p>
    <w:p>
      <w:pPr>
        <w:pStyle w:val="BodyText"/>
        <w:ind w:left="951"/>
        <w:spacing w:before="259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3"/>
        </w:rPr>
        <w:t>（1）   </w:t>
      </w:r>
      <w:r>
        <w:rPr>
          <w:spacing w:val="-3"/>
        </w:rPr>
        <w:t>轴的功用、类型、特点及应用，轴的材料；</w:t>
      </w:r>
    </w:p>
    <w:p>
      <w:pPr>
        <w:pStyle w:val="BodyText"/>
        <w:ind w:left="951"/>
        <w:spacing w:before="193" w:line="219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6"/>
        </w:rPr>
        <w:t>（2）</w:t>
      </w:r>
      <w:r>
        <w:rPr>
          <w:rFonts w:ascii="Microsoft YaHei UI" w:hAnsi="Microsoft YaHei UI" w:eastAsia="Microsoft YaHei UI" w:cs="Microsoft YaHei UI"/>
          <w:sz w:val="21"/>
          <w:szCs w:val="21"/>
          <w:spacing w:val="15"/>
        </w:rPr>
        <w:t xml:space="preserve">   </w:t>
      </w:r>
      <w:r>
        <w:rPr>
          <w:spacing w:val="-6"/>
        </w:rPr>
        <w:t>轴的结构设计及轴的设计步骤；</w:t>
      </w:r>
    </w:p>
    <w:p>
      <w:pPr>
        <w:pStyle w:val="BodyText"/>
        <w:ind w:right="6745" w:firstLine="951"/>
        <w:spacing w:before="194" w:line="272" w:lineRule="auto"/>
        <w:rPr/>
      </w:pPr>
      <w:r>
        <w:rPr>
          <w:rFonts w:ascii="Microsoft YaHei UI" w:hAnsi="Microsoft YaHei UI" w:eastAsia="Microsoft YaHei UI" w:cs="Microsoft YaHei UI"/>
          <w:sz w:val="21"/>
          <w:szCs w:val="21"/>
          <w:spacing w:val="-10"/>
        </w:rPr>
        <w:t>（3）</w:t>
      </w:r>
      <w:r>
        <w:rPr>
          <w:rFonts w:ascii="Microsoft YaHei UI" w:hAnsi="Microsoft YaHei UI" w:eastAsia="Microsoft YaHei UI" w:cs="Microsoft YaHei UI"/>
          <w:sz w:val="21"/>
          <w:szCs w:val="21"/>
          <w:spacing w:val="13"/>
        </w:rPr>
        <w:t xml:space="preserve">   </w:t>
      </w:r>
      <w:r>
        <w:rPr>
          <w:spacing w:val="-10"/>
        </w:rPr>
        <w:t>轴的计算。</w:t>
      </w:r>
      <w:r>
        <w:rPr>
          <w:spacing w:val="1"/>
        </w:rPr>
        <w:t xml:space="preserve"> </w:t>
      </w:r>
      <w:r>
        <w:rPr>
          <w:spacing w:val="-2"/>
        </w:rPr>
        <w:t>二、试卷题型结构</w:t>
      </w:r>
    </w:p>
    <w:p>
      <w:pPr>
        <w:pStyle w:val="BodyText"/>
        <w:ind w:left="7" w:right="862" w:firstLine="422"/>
        <w:spacing w:before="243" w:line="369" w:lineRule="auto"/>
        <w:rPr/>
      </w:pPr>
      <w:r>
        <w:rPr>
          <w:spacing w:val="-2"/>
        </w:rPr>
        <w:t>主要题型：选择填空题（30</w:t>
      </w:r>
      <w:r>
        <w:rPr>
          <w:spacing w:val="-46"/>
        </w:rPr>
        <w:t xml:space="preserve"> </w:t>
      </w:r>
      <w:r>
        <w:rPr>
          <w:spacing w:val="-2"/>
        </w:rPr>
        <w:t>分</w:t>
      </w:r>
      <w:r>
        <w:rPr>
          <w:spacing w:val="-5"/>
        </w:rPr>
        <w:t>），</w:t>
      </w:r>
      <w:r>
        <w:rPr>
          <w:spacing w:val="-2"/>
        </w:rPr>
        <w:t>问答题（30</w:t>
      </w:r>
      <w:r>
        <w:rPr>
          <w:spacing w:val="-47"/>
        </w:rPr>
        <w:t xml:space="preserve"> </w:t>
      </w:r>
      <w:r>
        <w:rPr>
          <w:spacing w:val="-2"/>
        </w:rPr>
        <w:t>分</w:t>
      </w:r>
      <w:r>
        <w:rPr>
          <w:spacing w:val="-5"/>
        </w:rPr>
        <w:t>），</w:t>
      </w:r>
      <w:r>
        <w:rPr>
          <w:spacing w:val="-2"/>
        </w:rPr>
        <w:t>计算、分析题（90</w:t>
      </w:r>
      <w:r>
        <w:rPr>
          <w:spacing w:val="-48"/>
        </w:rPr>
        <w:t xml:space="preserve"> </w:t>
      </w:r>
      <w:r>
        <w:rPr>
          <w:spacing w:val="-2"/>
        </w:rPr>
        <w:t>分）。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416"/>
        <w:spacing w:before="122" w:line="220" w:lineRule="auto"/>
        <w:rPr/>
      </w:pPr>
      <w:r>
        <w:rPr>
          <w:spacing w:val="-5"/>
        </w:rPr>
        <w:t>考试时间</w:t>
      </w:r>
      <w:r>
        <w:rPr>
          <w:spacing w:val="-32"/>
        </w:rPr>
        <w:t xml:space="preserve"> </w:t>
      </w:r>
      <w:r>
        <w:rPr>
          <w:spacing w:val="-5"/>
        </w:rPr>
        <w:t>180 分钟，满分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sectPr>
      <w:pgSz w:w="11907" w:h="16839"/>
      <w:pgMar w:top="1431" w:right="1187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2024-09-18T10:44:03Z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2024-10-12T09:20:56</vt:filetime>
  </property>
</Properties>
</file>