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7" w:lineRule="auto"/>
        <w:rPr>
          <w:rFonts w:ascii="Arial"/>
          <w:sz w:val="21"/>
        </w:rPr>
      </w:pPr>
      <w:r/>
    </w:p>
    <w:p>
      <w:pPr>
        <w:ind w:left="3237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8"/>
          <w:position w:val="-1"/>
        </w:rPr>
        <w:t>849</w:t>
      </w:r>
      <w:r>
        <w:rPr>
          <w:rFonts w:ascii="Arial" w:hAnsi="Arial" w:eastAsia="Arial" w:cs="Arial"/>
          <w:sz w:val="34"/>
          <w:szCs w:val="34"/>
          <w:spacing w:val="8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8"/>
          <w:position w:val="-1"/>
        </w:rPr>
        <w:t>财务会计学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60"/>
        <w:spacing w:before="157" w:line="318" w:lineRule="auto"/>
        <w:rPr/>
      </w:pPr>
      <w:r>
        <w:rPr>
          <w:spacing w:val="1"/>
        </w:rPr>
        <w:t>会计学硕士研究生入学考试是一种选拔考试，重点考查考生掌握会计</w:t>
      </w:r>
      <w:r>
        <w:rPr>
          <w:spacing w:val="9"/>
        </w:rPr>
        <w:t xml:space="preserve"> </w:t>
      </w:r>
      <w:r>
        <w:rPr>
          <w:spacing w:val="1"/>
        </w:rPr>
        <w:t>基础理论、通用目的经济业务会计处理以及部分特殊目的经济业务会计处</w:t>
      </w:r>
      <w:r>
        <w:rPr>
          <w:spacing w:val="5"/>
        </w:rPr>
        <w:t xml:space="preserve"> </w:t>
      </w:r>
      <w:r>
        <w:rPr>
          <w:spacing w:val="1"/>
        </w:rPr>
        <w:t>理的能力。鉴于会计专业的应用性和实践性，考生需要具备扎实的会计、</w:t>
      </w:r>
      <w:r>
        <w:rPr>
          <w:spacing w:val="8"/>
        </w:rPr>
        <w:t xml:space="preserve"> </w:t>
      </w:r>
      <w:r>
        <w:rPr>
          <w:spacing w:val="1"/>
        </w:rPr>
        <w:t>财务及相关领域的基础知识和实际操作能力。会计学硕士研究生入学考试</w:t>
      </w:r>
      <w:r>
        <w:rPr>
          <w:spacing w:val="5"/>
        </w:rPr>
        <w:t xml:space="preserve"> </w:t>
      </w:r>
      <w:r>
        <w:rPr>
          <w:spacing w:val="1"/>
        </w:rPr>
        <w:t>不仅考查考生的学术能力和专业知识，也涵盖对其政治素质、语言能力和</w:t>
      </w:r>
      <w:r>
        <w:rPr>
          <w:spacing w:val="5"/>
        </w:rPr>
        <w:t xml:space="preserve"> </w:t>
      </w:r>
      <w:r>
        <w:rPr>
          <w:spacing w:val="-2"/>
        </w:rPr>
        <w:t>综合素质的评价。</w:t>
      </w:r>
    </w:p>
    <w:p>
      <w:pPr>
        <w:pStyle w:val="BodyText"/>
        <w:ind w:left="583" w:right="5930" w:hanging="17"/>
        <w:spacing w:before="43" w:line="276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spacing w:val="-9"/>
        </w:rPr>
        <w:t>总论</w:t>
      </w:r>
    </w:p>
    <w:p>
      <w:pPr>
        <w:pStyle w:val="BodyText"/>
        <w:ind w:left="569"/>
        <w:spacing w:before="14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）企业财务会计的目标</w:t>
      </w:r>
    </w:p>
    <w:p>
      <w:pPr>
        <w:pStyle w:val="BodyText"/>
        <w:ind w:left="569"/>
        <w:spacing w:before="15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）企业会计准则</w:t>
      </w:r>
    </w:p>
    <w:p>
      <w:pPr>
        <w:pStyle w:val="BodyText"/>
        <w:ind w:left="569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）财务会计的基本假设</w:t>
      </w:r>
    </w:p>
    <w:p>
      <w:pPr>
        <w:pStyle w:val="BodyText"/>
        <w:ind w:left="569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）财务会计的基本要素</w:t>
      </w:r>
    </w:p>
    <w:p>
      <w:pPr>
        <w:pStyle w:val="BodyText"/>
        <w:ind w:left="556" w:right="4670" w:firstLine="13"/>
        <w:spacing w:before="157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）财务会计信息的质量要求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存货</w:t>
      </w:r>
    </w:p>
    <w:p>
      <w:pPr>
        <w:pStyle w:val="BodyText"/>
        <w:ind w:left="569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）存货及其初始确认和计量</w:t>
      </w:r>
    </w:p>
    <w:p>
      <w:pPr>
        <w:pStyle w:val="BodyText"/>
        <w:ind w:left="569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）存货的取得和发出</w:t>
      </w:r>
    </w:p>
    <w:p>
      <w:pPr>
        <w:pStyle w:val="BodyText"/>
        <w:ind w:left="569"/>
        <w:spacing w:before="15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）存货期末计价</w:t>
      </w:r>
    </w:p>
    <w:p>
      <w:pPr>
        <w:pStyle w:val="BodyText"/>
        <w:ind w:left="562" w:right="6628" w:firstLine="7"/>
        <w:spacing w:before="156" w:line="27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）存货清查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3.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8"/>
        </w:rPr>
        <w:t>固定资产</w:t>
      </w:r>
    </w:p>
    <w:p>
      <w:pPr>
        <w:pStyle w:val="BodyText"/>
        <w:ind w:left="569"/>
        <w:spacing w:before="15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）固定资产的确认</w:t>
      </w:r>
    </w:p>
    <w:p>
      <w:pPr>
        <w:pStyle w:val="BodyText"/>
        <w:ind w:left="569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）固定资产的初始计量和后续计量</w:t>
      </w:r>
    </w:p>
    <w:p>
      <w:pPr>
        <w:pStyle w:val="BodyText"/>
        <w:ind w:left="555" w:right="5229" w:firstLine="14"/>
        <w:spacing w:before="154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）固定资产的终止确认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无形资产</w:t>
      </w:r>
    </w:p>
    <w:p>
      <w:pPr>
        <w:spacing w:line="272" w:lineRule="auto"/>
        <w:sectPr>
          <w:footerReference w:type="default" r:id="rId1"/>
          <w:pgSz w:w="12070" w:h="16950"/>
          <w:pgMar w:top="1440" w:right="1471" w:bottom="1849" w:left="1597" w:header="0" w:footer="1633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56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）无形资产的确认</w:t>
      </w:r>
    </w:p>
    <w:p>
      <w:pPr>
        <w:pStyle w:val="BodyText"/>
        <w:ind w:left="356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）无形资产的初始计量和后续计量</w:t>
      </w:r>
    </w:p>
    <w:p>
      <w:pPr>
        <w:pStyle w:val="BodyText"/>
        <w:ind w:left="350" w:right="5227" w:firstLine="5"/>
        <w:spacing w:before="154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）无形资产的终止确认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投资性房地产</w:t>
      </w:r>
    </w:p>
    <w:p>
      <w:pPr>
        <w:pStyle w:val="BodyText"/>
        <w:ind w:left="356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）投资性房地产的确认</w:t>
      </w:r>
    </w:p>
    <w:p>
      <w:pPr>
        <w:pStyle w:val="BodyText"/>
        <w:ind w:left="356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）投资性房地产的初始计量和后续计量</w:t>
      </w:r>
    </w:p>
    <w:p>
      <w:pPr>
        <w:pStyle w:val="BodyText"/>
        <w:ind w:left="349" w:right="4667" w:firstLine="6"/>
        <w:spacing w:before="154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）投资性房地产的终止确认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金融资产</w:t>
      </w:r>
    </w:p>
    <w:p>
      <w:pPr>
        <w:pStyle w:val="BodyText"/>
        <w:ind w:left="356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）以摊余成本计量金融资产的会计处理</w:t>
      </w:r>
    </w:p>
    <w:p>
      <w:pPr>
        <w:pStyle w:val="BodyText"/>
        <w:ind w:left="356"/>
        <w:spacing w:before="156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）以公允价值计量且其变动计入当期损益金融资产的会计处理</w:t>
      </w:r>
    </w:p>
    <w:p>
      <w:pPr>
        <w:pStyle w:val="BodyText"/>
        <w:spacing w:before="160" w:line="219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）以公允价值计量且其变动计入其他综合收益金融资产的会计处理</w:t>
      </w:r>
    </w:p>
    <w:p>
      <w:pPr>
        <w:pStyle w:val="BodyText"/>
        <w:ind w:left="347" w:right="4667" w:firstLine="8"/>
        <w:spacing w:before="159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）长期股权投资的会计处理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非货币性资产交换</w:t>
      </w:r>
    </w:p>
    <w:p>
      <w:pPr>
        <w:pStyle w:val="BodyText"/>
        <w:ind w:left="356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）非货币性资产交换的确认与计量</w:t>
      </w:r>
    </w:p>
    <w:p>
      <w:pPr>
        <w:pStyle w:val="BodyText"/>
        <w:ind w:left="354" w:right="4106" w:firstLine="1"/>
        <w:spacing w:before="156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）非货币性资产交换的会计处理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8.</w:t>
      </w:r>
      <w:r>
        <w:rPr>
          <w:spacing w:val="-3"/>
        </w:rPr>
        <w:t>流动负债</w:t>
      </w:r>
    </w:p>
    <w:p>
      <w:pPr>
        <w:pStyle w:val="BodyText"/>
        <w:ind w:left="356"/>
        <w:spacing w:before="15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）短期借款的会计处理</w:t>
      </w:r>
    </w:p>
    <w:p>
      <w:pPr>
        <w:pStyle w:val="BodyText"/>
        <w:ind w:left="356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）应付票据与应付账款的会计处理</w:t>
      </w:r>
    </w:p>
    <w:p>
      <w:pPr>
        <w:pStyle w:val="BodyText"/>
        <w:ind w:left="356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）应付职工薪酬的会计处理</w:t>
      </w:r>
    </w:p>
    <w:p>
      <w:pPr>
        <w:pStyle w:val="BodyText"/>
        <w:ind w:left="356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）应交税费的会计处理</w:t>
      </w:r>
    </w:p>
    <w:p>
      <w:pPr>
        <w:pStyle w:val="BodyText"/>
        <w:ind w:left="348" w:right="2147" w:firstLine="7"/>
        <w:spacing w:before="155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）应付利息、应付股利和其他应付款的会计处理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9.</w:t>
      </w:r>
      <w:r>
        <w:rPr>
          <w:spacing w:val="-2"/>
        </w:rPr>
        <w:t>非流动负债</w:t>
      </w:r>
    </w:p>
    <w:p>
      <w:pPr>
        <w:pStyle w:val="BodyText"/>
        <w:ind w:left="356"/>
        <w:spacing w:before="15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）长期借款的会计处理</w:t>
      </w:r>
    </w:p>
    <w:p>
      <w:pPr>
        <w:pStyle w:val="BodyText"/>
        <w:ind w:left="356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）应付债券的会计处理</w:t>
      </w:r>
    </w:p>
    <w:p>
      <w:pPr>
        <w:pStyle w:val="BodyText"/>
        <w:ind w:left="369" w:right="4946" w:hanging="13"/>
        <w:spacing w:before="155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）长期应付款的会计处理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10.</w:t>
      </w:r>
      <w:r>
        <w:rPr>
          <w:spacing w:val="-5"/>
        </w:rPr>
        <w:t>债务重组</w:t>
      </w:r>
    </w:p>
    <w:p>
      <w:pPr>
        <w:spacing w:line="272" w:lineRule="auto"/>
        <w:sectPr>
          <w:footerReference w:type="default" r:id="rId2"/>
          <w:pgSz w:w="12070" w:h="16950"/>
          <w:pgMar w:top="1440" w:right="1473" w:bottom="1849" w:left="1810" w:header="0" w:footer="1633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46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）债务重组的相关概念和方式</w:t>
      </w:r>
    </w:p>
    <w:p>
      <w:pPr>
        <w:pStyle w:val="BodyText"/>
        <w:ind w:left="559" w:right="5229" w:hanging="13"/>
        <w:spacing w:before="154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）债务重组的账务处理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11.</w:t>
      </w:r>
      <w:r>
        <w:rPr>
          <w:spacing w:val="-5"/>
        </w:rPr>
        <w:t>所有者权益</w:t>
      </w:r>
    </w:p>
    <w:p>
      <w:pPr>
        <w:pStyle w:val="BodyText"/>
        <w:ind w:left="546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）所有者权益概述</w:t>
      </w:r>
    </w:p>
    <w:p>
      <w:pPr>
        <w:pStyle w:val="BodyText"/>
        <w:ind w:firstLine="546"/>
        <w:spacing w:before="158" w:line="27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）实收资本、其他权益工具、资本公积、其他综合收益和留存收益</w:t>
      </w:r>
      <w:r>
        <w:rPr>
          <w:spacing w:val="14"/>
        </w:rPr>
        <w:t xml:space="preserve"> </w:t>
      </w:r>
      <w:r>
        <w:rPr>
          <w:spacing w:val="-7"/>
        </w:rPr>
        <w:t>的会计处理</w:t>
      </w:r>
    </w:p>
    <w:p>
      <w:pPr>
        <w:pStyle w:val="BodyText"/>
        <w:ind w:left="560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12.</w:t>
      </w:r>
      <w:r>
        <w:rPr>
          <w:spacing w:val="-5"/>
        </w:rPr>
        <w:t>合同收入</w:t>
      </w:r>
    </w:p>
    <w:p>
      <w:pPr>
        <w:pStyle w:val="BodyText"/>
        <w:ind w:left="546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）合同收入的确认与计量</w:t>
      </w:r>
    </w:p>
    <w:p>
      <w:pPr>
        <w:pStyle w:val="BodyText"/>
        <w:ind w:left="559" w:right="4108" w:hanging="13"/>
        <w:spacing w:before="156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）特定交易合同收入的会计处理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13.</w:t>
      </w:r>
      <w:r>
        <w:rPr>
          <w:spacing w:val="-3"/>
        </w:rPr>
        <w:t>合同成本、费用与利润</w:t>
      </w:r>
    </w:p>
    <w:p>
      <w:pPr>
        <w:pStyle w:val="BodyText"/>
        <w:ind w:left="546"/>
        <w:spacing w:before="159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）合同成本</w:t>
      </w:r>
    </w:p>
    <w:p>
      <w:pPr>
        <w:pStyle w:val="BodyText"/>
        <w:ind w:left="546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）费用与期间费用</w:t>
      </w:r>
    </w:p>
    <w:p>
      <w:pPr>
        <w:pStyle w:val="BodyText"/>
        <w:ind w:left="559" w:right="6981" w:hanging="13"/>
        <w:spacing w:before="155" w:line="27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）利润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-5"/>
        </w:rPr>
        <w:t>14.</w:t>
      </w:r>
      <w:r>
        <w:rPr>
          <w:spacing w:val="-5"/>
        </w:rPr>
        <w:t>借款费用</w:t>
      </w:r>
    </w:p>
    <w:p>
      <w:pPr>
        <w:pStyle w:val="BodyText"/>
        <w:ind w:left="546"/>
        <w:spacing w:before="15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）借款费用概述</w:t>
      </w:r>
    </w:p>
    <w:p>
      <w:pPr>
        <w:pStyle w:val="BodyText"/>
        <w:ind w:left="546"/>
        <w:spacing w:before="15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）借款费用确认</w:t>
      </w:r>
    </w:p>
    <w:p>
      <w:pPr>
        <w:pStyle w:val="BodyText"/>
        <w:ind w:left="559" w:right="6069" w:hanging="13"/>
        <w:spacing w:before="158" w:line="27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）借款费用计量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15.</w:t>
      </w:r>
      <w:r>
        <w:rPr>
          <w:spacing w:val="-5"/>
        </w:rPr>
        <w:t>财务报表</w:t>
      </w:r>
    </w:p>
    <w:p>
      <w:pPr>
        <w:pStyle w:val="BodyText"/>
        <w:ind w:left="546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）资产负债表概念、作用及编制</w:t>
      </w:r>
    </w:p>
    <w:p>
      <w:pPr>
        <w:pStyle w:val="BodyText"/>
        <w:ind w:left="546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）利润表概念、作用及编制</w:t>
      </w:r>
    </w:p>
    <w:p>
      <w:pPr>
        <w:pStyle w:val="BodyText"/>
        <w:ind w:left="546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）现金流量表概述及编制方法</w:t>
      </w:r>
    </w:p>
    <w:p>
      <w:pPr>
        <w:pStyle w:val="BodyText"/>
        <w:ind w:left="559" w:right="3549" w:hanging="13"/>
        <w:spacing w:before="153" w:line="273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）所有者权益变动表概述及编制方法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16.</w:t>
      </w:r>
      <w:r>
        <w:rPr>
          <w:spacing w:val="-3"/>
        </w:rPr>
        <w:t>资产负债表日后事项</w:t>
      </w:r>
    </w:p>
    <w:p>
      <w:pPr>
        <w:pStyle w:val="BodyText"/>
        <w:ind w:left="546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）资产负债表日后事项概述</w:t>
      </w:r>
    </w:p>
    <w:p>
      <w:pPr>
        <w:pStyle w:val="BodyText"/>
        <w:ind w:left="546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）调整事项的会计处理</w:t>
      </w:r>
    </w:p>
    <w:p>
      <w:pPr>
        <w:pStyle w:val="BodyText"/>
        <w:ind w:left="546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）非调整事项的会计处理</w:t>
      </w:r>
    </w:p>
    <w:p>
      <w:pPr>
        <w:spacing w:line="220" w:lineRule="auto"/>
        <w:sectPr>
          <w:footerReference w:type="default" r:id="rId3"/>
          <w:pgSz w:w="12070" w:h="16950"/>
          <w:pgMar w:top="1440" w:right="1471" w:bottom="1849" w:left="1620" w:header="0" w:footer="1633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82"/>
        <w:spacing w:before="91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17.</w:t>
      </w:r>
      <w:r>
        <w:rPr>
          <w:spacing w:val="-5"/>
        </w:rPr>
        <w:t>会计调整</w:t>
      </w:r>
    </w:p>
    <w:p>
      <w:pPr>
        <w:pStyle w:val="BodyText"/>
        <w:ind w:left="568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）会计政策变更的会计处理</w:t>
      </w:r>
    </w:p>
    <w:p>
      <w:pPr>
        <w:pStyle w:val="BodyText"/>
        <w:ind w:left="568"/>
        <w:spacing w:before="156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）会计估计变更的会计处理</w:t>
      </w:r>
    </w:p>
    <w:p>
      <w:pPr>
        <w:pStyle w:val="BodyText"/>
        <w:ind w:left="581" w:right="4666" w:hanging="13"/>
        <w:spacing w:before="157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）前期差错更正的会计处理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18.</w:t>
      </w:r>
      <w:r>
        <w:rPr>
          <w:spacing w:val="-5"/>
        </w:rPr>
        <w:t>会计前沿</w:t>
      </w:r>
    </w:p>
    <w:p>
      <w:pPr>
        <w:pStyle w:val="BodyText"/>
        <w:ind w:left="568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）数据资源的会计处理</w:t>
      </w:r>
    </w:p>
    <w:p>
      <w:pPr>
        <w:pStyle w:val="BodyText"/>
        <w:ind w:left="568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）理论界和实务界会计热点分析</w:t>
      </w:r>
    </w:p>
    <w:p>
      <w:pPr>
        <w:ind w:left="566"/>
        <w:spacing w:before="156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1"/>
        <w:spacing w:before="153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7"/>
        <w:spacing w:before="15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55" w:right="5991" w:firstLine="26"/>
        <w:spacing w:before="153" w:line="310" w:lineRule="auto"/>
        <w:rPr/>
      </w:pP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spacing w:val="-9"/>
        </w:rPr>
        <w:t>名词解释，</w:t>
      </w:r>
      <w:r>
        <w:rPr>
          <w:rFonts w:ascii="Times New Roman" w:hAnsi="Times New Roman" w:eastAsia="Times New Roman" w:cs="Times New Roman"/>
          <w:spacing w:val="-9"/>
        </w:rPr>
        <w:t>30 </w:t>
      </w:r>
      <w:r>
        <w:rPr>
          <w:spacing w:val="-9"/>
        </w:rPr>
        <w:t>分；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选择题，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分；</w:t>
      </w:r>
    </w:p>
    <w:p>
      <w:pPr>
        <w:pStyle w:val="BodyText"/>
        <w:ind w:left="561"/>
        <w:spacing w:before="3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判断题，</w:t>
      </w:r>
      <w:r>
        <w:rPr>
          <w:rFonts w:ascii="Times New Roman" w:hAnsi="Times New Roman" w:eastAsia="Times New Roman" w:cs="Times New Roman"/>
          <w:spacing w:val="-1"/>
        </w:rPr>
        <w:t>10 </w:t>
      </w:r>
      <w:r>
        <w:rPr>
          <w:spacing w:val="-1"/>
        </w:rPr>
        <w:t>分；</w:t>
      </w:r>
    </w:p>
    <w:p>
      <w:pPr>
        <w:pStyle w:val="BodyText"/>
        <w:ind w:left="562" w:right="5711" w:hanging="8"/>
        <w:spacing w:before="154" w:line="310" w:lineRule="auto"/>
        <w:rPr/>
      </w:pPr>
      <w:r>
        <w:rPr>
          <w:rFonts w:ascii="Times New Roman" w:hAnsi="Times New Roman" w:eastAsia="Times New Roman" w:cs="Times New Roman"/>
          <w:spacing w:val="-6"/>
        </w:rPr>
        <w:t>4.</w:t>
      </w:r>
      <w:r>
        <w:rPr>
          <w:spacing w:val="-6"/>
        </w:rPr>
        <w:t>综合业务题，</w:t>
      </w:r>
      <w:r>
        <w:rPr>
          <w:rFonts w:ascii="Times New Roman" w:hAnsi="Times New Roman" w:eastAsia="Times New Roman" w:cs="Times New Roman"/>
          <w:spacing w:val="-6"/>
        </w:rPr>
        <w:t>50 </w:t>
      </w:r>
      <w:r>
        <w:rPr>
          <w:spacing w:val="-6"/>
        </w:rPr>
        <w:t>分；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论述题，</w:t>
      </w:r>
      <w:r>
        <w:rPr>
          <w:rFonts w:ascii="Times New Roman" w:hAnsi="Times New Roman" w:eastAsia="Times New Roman" w:cs="Times New Roman"/>
          <w:spacing w:val="-2"/>
        </w:rPr>
        <w:t>30 </w:t>
      </w:r>
      <w:r>
        <w:rPr>
          <w:spacing w:val="-2"/>
        </w:rPr>
        <w:t>分。</w:t>
      </w:r>
    </w:p>
    <w:p>
      <w:pPr>
        <w:ind w:left="568"/>
        <w:spacing w:before="40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firstLine="582"/>
        <w:spacing w:before="155" w:line="309" w:lineRule="auto"/>
        <w:rPr/>
      </w:pPr>
      <w:r>
        <w:rPr>
          <w:rFonts w:ascii="Times New Roman" w:hAnsi="Times New Roman" w:eastAsia="Times New Roman" w:cs="Times New Roman"/>
          <w:spacing w:val="-10"/>
        </w:rPr>
        <w:t>1.</w:t>
      </w:r>
      <w:r>
        <w:rPr>
          <w:spacing w:val="-10"/>
        </w:rPr>
        <w:t>《中级财务会计学》，曹越 王一剑主编，中国财政经济出版社，</w:t>
      </w:r>
      <w:r>
        <w:rPr>
          <w:rFonts w:ascii="Times New Roman" w:hAnsi="Times New Roman" w:eastAsia="Times New Roman" w:cs="Times New Roman"/>
          <w:spacing w:val="-10"/>
        </w:rPr>
        <w:t>2022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8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8"/>
        </w:rPr>
        <w:t>月版；</w:t>
      </w:r>
    </w:p>
    <w:p>
      <w:pPr>
        <w:pStyle w:val="BodyText"/>
        <w:ind w:left="25" w:right="59" w:firstLine="530"/>
        <w:spacing w:before="42" w:line="309" w:lineRule="auto"/>
        <w:rPr/>
      </w:pPr>
      <w:r>
        <w:rPr>
          <w:rFonts w:ascii="Times New Roman" w:hAnsi="Times New Roman" w:eastAsia="Times New Roman" w:cs="Times New Roman"/>
          <w:spacing w:val="1"/>
        </w:rPr>
        <w:t>2.</w:t>
      </w:r>
      <w:r>
        <w:rPr>
          <w:spacing w:val="1"/>
        </w:rPr>
        <w:t>《企业会计准则应用指南汇编</w:t>
      </w: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spacing w:val="1"/>
        </w:rPr>
        <w:t>》，财政部会计司编写组主编，</w:t>
      </w:r>
      <w:r>
        <w:rPr>
          <w:spacing w:val="17"/>
        </w:rPr>
        <w:t xml:space="preserve"> </w:t>
      </w:r>
      <w:r>
        <w:rPr>
          <w:spacing w:val="-4"/>
        </w:rPr>
        <w:t>中国财政经济出版社，</w:t>
      </w:r>
      <w:r>
        <w:rPr>
          <w:rFonts w:ascii="Times New Roman" w:hAnsi="Times New Roman" w:eastAsia="Times New Roman" w:cs="Times New Roman"/>
          <w:spacing w:val="-4"/>
        </w:rPr>
        <w:t>2024 </w:t>
      </w:r>
      <w:r>
        <w:rPr>
          <w:spacing w:val="-4"/>
        </w:rPr>
        <w:t>年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4"/>
        </w:rPr>
        <w:t>月版。</w:t>
      </w:r>
    </w:p>
    <w:sectPr>
      <w:footerReference w:type="default" r:id="rId4"/>
      <w:pgSz w:w="12070" w:h="16950"/>
      <w:pgMar w:top="1440" w:right="1475" w:bottom="1849" w:left="1598" w:header="0" w:footer="16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6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6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2024-10-09T15:21:08Z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2024-10-11T22:44:14</vt:filetime>
  </property>
</Properties>
</file>