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24F68">
      <w:pPr>
        <w:spacing w:before="371" w:beforeLines="100" w:after="371" w:afterLines="100"/>
        <w:jc w:val="center"/>
        <w:rPr>
          <w:rFonts w:hint="eastAsia"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drawing>
          <wp:inline distT="0" distB="0" distL="114300" distR="114300">
            <wp:extent cx="2920365" cy="476250"/>
            <wp:effectExtent l="0" t="0" r="13335" b="0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5CED6">
      <w:pPr>
        <w:spacing w:before="371" w:beforeLines="100" w:after="371" w:afterLines="100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硕士研究生招生考试</w:t>
      </w:r>
    </w:p>
    <w:p w14:paraId="62106537">
      <w:pPr>
        <w:spacing w:before="371" w:beforeLines="100" w:after="371" w:afterLines="10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《教师教育学》科目大纲</w:t>
      </w:r>
    </w:p>
    <w:p w14:paraId="554706C9">
      <w:pPr>
        <w:spacing w:before="371" w:beforeLines="100" w:after="371" w:afterLines="100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（科目代码：930）</w:t>
      </w:r>
    </w:p>
    <w:p w14:paraId="729BB541">
      <w:pPr>
        <w:rPr>
          <w:rFonts w:hint="eastAsia" w:ascii="仿宋_GB2312" w:hAnsi="宋体" w:eastAsia="仿宋_GB2312"/>
          <w:sz w:val="30"/>
          <w:szCs w:val="30"/>
        </w:rPr>
      </w:pPr>
    </w:p>
    <w:p w14:paraId="3590599A">
      <w:pPr>
        <w:rPr>
          <w:rFonts w:hint="eastAsia" w:ascii="仿宋_GB2312" w:hAnsi="宋体" w:eastAsia="仿宋_GB2312"/>
          <w:sz w:val="30"/>
          <w:szCs w:val="30"/>
        </w:rPr>
      </w:pPr>
    </w:p>
    <w:p w14:paraId="326784F6">
      <w:pPr>
        <w:rPr>
          <w:rFonts w:hint="eastAsia" w:ascii="仿宋_GB2312" w:hAnsi="宋体" w:eastAsia="仿宋_GB2312"/>
          <w:sz w:val="30"/>
          <w:szCs w:val="30"/>
        </w:rPr>
      </w:pPr>
    </w:p>
    <w:p w14:paraId="404213A8">
      <w:pPr>
        <w:rPr>
          <w:rFonts w:hint="eastAsia" w:ascii="仿宋_GB2312" w:hAnsi="宋体" w:eastAsia="仿宋_GB2312"/>
          <w:sz w:val="30"/>
          <w:szCs w:val="30"/>
        </w:rPr>
      </w:pPr>
    </w:p>
    <w:p w14:paraId="27B6B1A1">
      <w:pPr>
        <w:rPr>
          <w:rFonts w:hint="eastAsia" w:ascii="仿宋_GB2312" w:hAnsi="宋体" w:eastAsia="仿宋_GB2312"/>
          <w:sz w:val="30"/>
          <w:szCs w:val="30"/>
        </w:rPr>
      </w:pPr>
    </w:p>
    <w:p w14:paraId="607AC7F1">
      <w:pPr>
        <w:rPr>
          <w:rFonts w:hint="eastAsia" w:ascii="仿宋_GB2312" w:hAnsi="宋体" w:eastAsia="仿宋_GB2312"/>
          <w:sz w:val="30"/>
          <w:szCs w:val="30"/>
        </w:rPr>
      </w:pPr>
    </w:p>
    <w:p w14:paraId="4BFDDCB4">
      <w:pPr>
        <w:spacing w:before="371" w:beforeLines="100" w:after="185" w:afterLines="50"/>
        <w:ind w:firstLine="1650" w:firstLineChars="5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学院名称(（盖章）：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 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 教育科学学院     </w:t>
      </w:r>
    </w:p>
    <w:p w14:paraId="7084AA17">
      <w:pPr>
        <w:spacing w:before="371" w:beforeLines="100" w:after="185" w:afterLines="50"/>
        <w:ind w:firstLine="1650" w:firstLineChars="550"/>
        <w:rPr>
          <w:rFonts w:hint="eastAsia"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学院负责人（签字）：</w:t>
      </w:r>
      <w:r>
        <w:rPr>
          <w:rFonts w:hint="eastAsia" w:ascii="仿宋_GB2312" w:hAnsi="宋体" w:eastAsia="仿宋_GB2312"/>
          <w:sz w:val="30"/>
          <w:szCs w:val="30"/>
          <w:u w:val="thick"/>
          <w:vertAlign w:val="subscript"/>
        </w:rPr>
        <w:t xml:space="preserve">                  </w:t>
      </w:r>
      <w:r>
        <w:rPr>
          <w:rFonts w:ascii="仿宋_GB2312" w:hAnsi="宋体" w:eastAsia="仿宋_GB2312"/>
          <w:sz w:val="30"/>
          <w:szCs w:val="30"/>
          <w:u w:val="thick"/>
          <w:vertAlign w:val="subscript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  <w:u w:val="thick"/>
          <w:vertAlign w:val="subscript"/>
        </w:rPr>
        <w:t xml:space="preserve">                   </w:t>
      </w:r>
      <w:r>
        <w:rPr>
          <w:rFonts w:hint="eastAsia" w:ascii="仿宋_GB2312" w:hAnsi="宋体" w:eastAsia="仿宋_GB2312"/>
          <w:sz w:val="30"/>
          <w:szCs w:val="30"/>
          <w:vertAlign w:val="subscript"/>
        </w:rPr>
        <w:t xml:space="preserve"> </w:t>
      </w:r>
    </w:p>
    <w:p w14:paraId="3D6C4AAE">
      <w:pPr>
        <w:spacing w:before="371" w:beforeLines="100" w:after="185" w:afterLines="50"/>
        <w:ind w:firstLine="1650" w:firstLineChars="55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编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制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时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间 ： 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u w:val="single"/>
        </w:rPr>
        <w:t>20</w:t>
      </w:r>
      <w:r>
        <w:rPr>
          <w:rFonts w:ascii="仿宋_GB2312" w:hAnsi="宋体" w:eastAsia="仿宋_GB2312"/>
          <w:sz w:val="30"/>
          <w:szCs w:val="30"/>
          <w:u w:val="single"/>
        </w:rPr>
        <w:t>23</w:t>
      </w:r>
      <w:r>
        <w:rPr>
          <w:rFonts w:hint="eastAsia" w:ascii="仿宋_GB2312" w:hAnsi="宋体" w:eastAsia="仿宋_GB2312"/>
          <w:sz w:val="30"/>
          <w:szCs w:val="30"/>
          <w:u w:val="single"/>
        </w:rPr>
        <w:t>年</w:t>
      </w:r>
      <w:r>
        <w:rPr>
          <w:rFonts w:ascii="仿宋_GB2312" w:hAnsi="宋体" w:eastAsia="仿宋_GB2312"/>
          <w:sz w:val="30"/>
          <w:szCs w:val="30"/>
          <w:u w:val="single"/>
        </w:rPr>
        <w:t>6</w:t>
      </w:r>
      <w:r>
        <w:rPr>
          <w:rFonts w:hint="eastAsia" w:ascii="仿宋_GB2312" w:hAnsi="宋体" w:eastAsia="仿宋_GB2312"/>
          <w:sz w:val="30"/>
          <w:szCs w:val="30"/>
          <w:u w:val="single"/>
        </w:rPr>
        <w:t>月</w:t>
      </w:r>
      <w:r>
        <w:rPr>
          <w:rFonts w:ascii="仿宋_GB2312" w:hAnsi="宋体" w:eastAsia="仿宋_GB2312"/>
          <w:sz w:val="30"/>
          <w:szCs w:val="30"/>
          <w:u w:val="single"/>
        </w:rPr>
        <w:t>12</w:t>
      </w:r>
      <w:r>
        <w:rPr>
          <w:rFonts w:hint="eastAsia" w:ascii="仿宋_GB2312" w:hAnsi="宋体" w:eastAsia="仿宋_GB2312"/>
          <w:sz w:val="30"/>
          <w:szCs w:val="30"/>
          <w:u w:val="single"/>
        </w:rPr>
        <w:t xml:space="preserve">日 </w:t>
      </w:r>
      <w:r>
        <w:rPr>
          <w:rFonts w:ascii="仿宋_GB2312" w:hAnsi="宋体" w:eastAsia="仿宋_GB2312"/>
          <w:sz w:val="30"/>
          <w:szCs w:val="30"/>
          <w:u w:val="single"/>
        </w:rPr>
        <w:t xml:space="preserve">  </w:t>
      </w:r>
    </w:p>
    <w:p w14:paraId="33840884">
      <w:pPr>
        <w:widowControl/>
        <w:spacing w:line="440" w:lineRule="exact"/>
        <w:jc w:val="center"/>
        <w:rPr>
          <w:rFonts w:hint="eastAsia" w:ascii="黑体" w:hAnsi="黑体" w:eastAsia="黑体"/>
          <w:b/>
          <w:bCs/>
          <w:sz w:val="36"/>
        </w:rPr>
      </w:pPr>
      <w:r>
        <w:rPr>
          <w:rFonts w:ascii="新宋体" w:hAnsi="新宋体" w:eastAsia="新宋体"/>
          <w:b/>
          <w:sz w:val="36"/>
          <w:szCs w:val="36"/>
        </w:rPr>
        <w:br w:type="page"/>
      </w:r>
      <w:r>
        <w:rPr>
          <w:rFonts w:hint="eastAsia" w:ascii="黑体" w:hAnsi="黑体" w:eastAsia="黑体"/>
          <w:b/>
          <w:bCs/>
          <w:sz w:val="36"/>
        </w:rPr>
        <w:t>《教育综合》科目大纲</w:t>
      </w:r>
    </w:p>
    <w:p w14:paraId="324349F0">
      <w:pPr>
        <w:spacing w:line="360" w:lineRule="exact"/>
        <w:jc w:val="center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（代码930）</w:t>
      </w:r>
    </w:p>
    <w:p w14:paraId="6509D6D8">
      <w:pPr>
        <w:pStyle w:val="25"/>
        <w:spacing w:line="360" w:lineRule="exact"/>
        <w:ind w:firstLineChars="0"/>
        <w:rPr>
          <w:rFonts w:hint="eastAsia" w:ascii="新宋体" w:hAnsi="新宋体" w:eastAsia="新宋体"/>
          <w:sz w:val="28"/>
          <w:szCs w:val="28"/>
        </w:rPr>
      </w:pPr>
    </w:p>
    <w:p w14:paraId="3FF81205">
      <w:pPr>
        <w:pStyle w:val="25"/>
        <w:spacing w:line="360" w:lineRule="exact"/>
        <w:ind w:firstLineChars="0"/>
        <w:rPr>
          <w:rFonts w:hint="eastAsia" w:ascii="新宋体" w:hAnsi="新宋体" w:eastAsia="新宋体"/>
          <w:sz w:val="28"/>
          <w:szCs w:val="28"/>
        </w:rPr>
      </w:pPr>
    </w:p>
    <w:p w14:paraId="6D5855C0">
      <w:pPr>
        <w:pStyle w:val="25"/>
        <w:spacing w:before="185" w:beforeLines="50" w:after="185" w:afterLines="50" w:line="360" w:lineRule="exact"/>
        <w:ind w:left="420" w:firstLine="0" w:firstLineChars="0"/>
        <w:jc w:val="center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一、考查目标</w:t>
      </w:r>
    </w:p>
    <w:p w14:paraId="0F6DF962">
      <w:pPr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（一）系统掌握教教师教育学的基础知识、基本概念、基本理论。</w:t>
      </w:r>
    </w:p>
    <w:p w14:paraId="360CEF64">
      <w:pPr>
        <w:spacing w:line="3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（二）能运用教师教育学的基本理论和观点来分析、解释和解决教师教育领域的相关问题。</w:t>
      </w:r>
    </w:p>
    <w:p w14:paraId="51DAC9F4">
      <w:pPr>
        <w:pStyle w:val="25"/>
        <w:spacing w:before="185" w:beforeLines="50" w:after="185" w:afterLines="50" w:line="360" w:lineRule="exact"/>
        <w:ind w:left="420" w:firstLine="0" w:firstLineChars="0"/>
        <w:jc w:val="center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二、考试形式与试卷结构</w:t>
      </w:r>
    </w:p>
    <w:p w14:paraId="60342C2F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（一）试卷成绩及考试时间</w:t>
      </w:r>
    </w:p>
    <w:p w14:paraId="29D89BEF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本试卷满分为100分，考试时间为120分钟。</w:t>
      </w:r>
    </w:p>
    <w:p w14:paraId="3A60AFCE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（二）答题方式</w:t>
      </w:r>
    </w:p>
    <w:p w14:paraId="551CDC63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答题方式为闭卷、笔试。</w:t>
      </w:r>
    </w:p>
    <w:p w14:paraId="4A4DAC24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（三）试卷内容结构</w:t>
      </w:r>
    </w:p>
    <w:p w14:paraId="4060695A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各部分内容所占分值为：</w:t>
      </w:r>
    </w:p>
    <w:p w14:paraId="0F97A576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教师教育学学科立场   约5分</w:t>
      </w:r>
    </w:p>
    <w:p w14:paraId="316C7DCD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教师教育学国际视野   约5分</w:t>
      </w:r>
    </w:p>
    <w:p w14:paraId="59A00B3C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教师教育学社会功能   约15分</w:t>
      </w:r>
    </w:p>
    <w:p w14:paraId="55E92B5A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教师教育学知识基础   约15分</w:t>
      </w:r>
    </w:p>
    <w:p w14:paraId="1BE7F754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教师教育研究方法     约15分</w:t>
      </w:r>
    </w:p>
    <w:p w14:paraId="75A3B653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教师教育学课程建设   约15分</w:t>
      </w:r>
    </w:p>
    <w:p w14:paraId="25084448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教师教育学实践模式   约15分</w:t>
      </w:r>
    </w:p>
    <w:p w14:paraId="3C314C28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教师教育学终身理念   约5分</w:t>
      </w:r>
    </w:p>
    <w:p w14:paraId="0254FD29">
      <w:pPr>
        <w:widowControl/>
        <w:shd w:val="clear" w:color="auto" w:fill="FFFFFF"/>
        <w:tabs>
          <w:tab w:val="left" w:pos="900"/>
        </w:tabs>
        <w:spacing w:line="36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教师教育学文化特色   约5分</w:t>
      </w:r>
    </w:p>
    <w:p w14:paraId="4C9698FA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教师教育学政策导向   约5分</w:t>
      </w:r>
    </w:p>
    <w:p w14:paraId="3FC98843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（四）试卷题型结构</w:t>
      </w:r>
    </w:p>
    <w:p w14:paraId="1B6772A0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简答题：    4小题，每小题10分，共40分</w:t>
      </w:r>
    </w:p>
    <w:p w14:paraId="35F50EA1">
      <w:pPr>
        <w:pStyle w:val="25"/>
        <w:spacing w:line="360" w:lineRule="exact"/>
        <w:ind w:firstLine="56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分析论述题：3小题，每小题 20分，共60分</w:t>
      </w:r>
    </w:p>
    <w:p w14:paraId="1884F643">
      <w:pPr>
        <w:pStyle w:val="25"/>
        <w:spacing w:before="185" w:beforeLines="50" w:after="185" w:afterLines="50" w:line="360" w:lineRule="exact"/>
        <w:ind w:left="420" w:firstLine="0" w:firstLineChars="0"/>
        <w:jc w:val="center"/>
        <w:rPr>
          <w:rFonts w:hint="eastAsia" w:ascii="新宋体" w:hAnsi="新宋体" w:eastAsia="新宋体"/>
          <w:sz w:val="30"/>
          <w:szCs w:val="30"/>
        </w:rPr>
      </w:pPr>
      <w:r>
        <w:rPr>
          <w:rFonts w:hint="eastAsia" w:ascii="新宋体" w:hAnsi="新宋体" w:eastAsia="新宋体"/>
          <w:sz w:val="30"/>
          <w:szCs w:val="30"/>
        </w:rPr>
        <w:t>三、考查范围</w:t>
      </w:r>
    </w:p>
    <w:p w14:paraId="2802C87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一、教师教育学学科立场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</w:p>
    <w:p w14:paraId="298B907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（一）教师教育学发展背景</w:t>
      </w:r>
    </w:p>
    <w:p w14:paraId="34C8870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1、教师教育学的社会背景</w:t>
      </w:r>
    </w:p>
    <w:p w14:paraId="3BCD587A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2、在研究教师中培养教师</w:t>
      </w:r>
    </w:p>
    <w:p w14:paraId="41F5196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3、促使教师教育规范发展</w:t>
      </w:r>
    </w:p>
    <w:p w14:paraId="71B6C63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（二）教师教育学建设规范</w:t>
      </w:r>
    </w:p>
    <w:p w14:paraId="3432697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1、切准教师的本质是前提</w:t>
      </w:r>
    </w:p>
    <w:p w14:paraId="5C17A6C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2、专业化是学科规范内核</w:t>
      </w:r>
    </w:p>
    <w:p w14:paraId="6752CB2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3、反思实践中求建设资源 </w:t>
      </w:r>
    </w:p>
    <w:p w14:paraId="03629D0A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（三）教师教育学时代之思 </w:t>
      </w:r>
    </w:p>
    <w:p w14:paraId="0D4482C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1、多元文化中的教师教育 </w:t>
      </w:r>
    </w:p>
    <w:p w14:paraId="0040994E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2、教师认同理解教师教育 </w:t>
      </w:r>
    </w:p>
    <w:p w14:paraId="511704A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3、教师教育一体化的诉求 </w:t>
      </w:r>
    </w:p>
    <w:p w14:paraId="3A5B3AA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二、教师教育学国际视野</w:t>
      </w:r>
    </w:p>
    <w:p w14:paraId="7D24E45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（一）公平效率需求的技能观</w:t>
      </w:r>
    </w:p>
    <w:p w14:paraId="73A7BDA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1、教育公平规范资格证书</w:t>
      </w:r>
    </w:p>
    <w:p w14:paraId="68258BD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2、教育效率提升学历层次</w:t>
      </w:r>
    </w:p>
    <w:p w14:paraId="728EF05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3、教育需求从教者技能观</w:t>
      </w:r>
    </w:p>
    <w:p w14:paraId="555BC90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（二）理想现实教职的专业观</w:t>
      </w:r>
      <w:r>
        <w:rPr>
          <w:rFonts w:hint="eastAsia" w:ascii="宋体" w:hAnsi="宋体" w:cs="宋体"/>
          <w:color w:val="000000"/>
          <w:sz w:val="28"/>
          <w:szCs w:val="28"/>
        </w:rPr>
        <w:tab/>
      </w:r>
    </w:p>
    <w:p w14:paraId="7992CC2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1、理想与现实的教师形象</w:t>
      </w:r>
    </w:p>
    <w:p w14:paraId="7DB513A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2、教师社会地位中庸之道</w:t>
      </w:r>
    </w:p>
    <w:p w14:paraId="79791D84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3、工程型教师专业发展观</w:t>
      </w:r>
    </w:p>
    <w:p w14:paraId="6EEAF46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（三）国际视野优教的反思观 </w:t>
      </w:r>
    </w:p>
    <w:p w14:paraId="0D04E627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1、执鞭任教者面临的危机</w:t>
      </w:r>
    </w:p>
    <w:p w14:paraId="6304E51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2、教师教育改革势在必行</w:t>
      </w:r>
    </w:p>
    <w:p w14:paraId="297842F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3、反思型教师终身学习观</w:t>
      </w:r>
    </w:p>
    <w:p w14:paraId="069DA3C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三、教师教育学社会功能</w:t>
      </w:r>
    </w:p>
    <w:p w14:paraId="2118514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（一）全球化时代的教师教育</w:t>
      </w:r>
    </w:p>
    <w:p w14:paraId="3B133DA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1、全球化与教师教育</w:t>
      </w:r>
    </w:p>
    <w:p w14:paraId="7A615B3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2、知识时代背景与教师教育</w:t>
      </w:r>
    </w:p>
    <w:p w14:paraId="79C0243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3、教师专业发展与教师教育</w:t>
      </w:r>
    </w:p>
    <w:p w14:paraId="3B592E8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（二）数字化时代的教师教育</w:t>
      </w:r>
    </w:p>
    <w:p w14:paraId="35F877D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1、中小学教师的数字化生存</w:t>
      </w:r>
    </w:p>
    <w:p w14:paraId="3A77124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2、中小学教师的博客群学习</w:t>
      </w:r>
    </w:p>
    <w:p w14:paraId="0E705AB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3、中小学教师的互联网叙事</w:t>
      </w:r>
    </w:p>
    <w:p w14:paraId="546D9D9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（三）风险性时代的教师教育</w:t>
      </w:r>
    </w:p>
    <w:p w14:paraId="166CB7A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1、中小学教师的职业性风险</w:t>
      </w:r>
    </w:p>
    <w:p w14:paraId="7E6E8154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2、中小学教师的道德性风险</w:t>
      </w:r>
    </w:p>
    <w:p w14:paraId="5FFD828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3、中小学教师的对话性成长</w:t>
      </w:r>
    </w:p>
    <w:p w14:paraId="3DD3946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四、教师教育学知识基础</w:t>
      </w:r>
    </w:p>
    <w:p w14:paraId="6564BC0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 教师教育学之知识观溯源</w:t>
      </w:r>
    </w:p>
    <w:p w14:paraId="7679650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1、古希腊罗马时期的知识观</w:t>
      </w:r>
    </w:p>
    <w:p w14:paraId="370DD2F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2、现代主义知识观发展历程</w:t>
      </w:r>
    </w:p>
    <w:p w14:paraId="08065DA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3、后现代主义知识观的剖析</w:t>
      </w:r>
    </w:p>
    <w:p w14:paraId="630F42C4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（二）教师教育学之基本概念界定</w:t>
      </w:r>
    </w:p>
    <w:p w14:paraId="376E68AE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1、学科概念研究的源与流</w:t>
      </w:r>
    </w:p>
    <w:p w14:paraId="57A6CBB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2、知识体系基本内涵初探</w:t>
      </w:r>
    </w:p>
    <w:p w14:paraId="078EB93A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3、教师教育学的学科属性</w:t>
      </w:r>
    </w:p>
    <w:p w14:paraId="363E18C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（三）教师教育学之知识体系探究</w:t>
      </w:r>
    </w:p>
    <w:p w14:paraId="28FD979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1、教师教育学知识体系研究现状</w:t>
      </w:r>
    </w:p>
    <w:p w14:paraId="44083D1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2、教师教育学知识体系基本框架</w:t>
      </w:r>
    </w:p>
    <w:p w14:paraId="23AAF23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3、“3+3”教师教育创新模式变革</w:t>
      </w:r>
    </w:p>
    <w:p w14:paraId="1E80611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五、教师教育研究方法</w:t>
      </w:r>
    </w:p>
    <w:p w14:paraId="2136E71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（一）教师教育研究基本价值取向</w:t>
      </w:r>
    </w:p>
    <w:p w14:paraId="6F1FDA0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1、教师教育的研究性质和基本特征</w:t>
      </w:r>
    </w:p>
    <w:p w14:paraId="5D11B2C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2、教师教育研究的多元分类体系</w:t>
      </w:r>
    </w:p>
    <w:p w14:paraId="30345F7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3、教师教育研究的几个基本概念</w:t>
      </w:r>
    </w:p>
    <w:p w14:paraId="6C99152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（二）教师教育研究基本路径指向</w:t>
      </w:r>
    </w:p>
    <w:p w14:paraId="1DEB2EF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1、教师教育研究方法论哲学基础</w:t>
      </w:r>
    </w:p>
    <w:p w14:paraId="718EAD1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2、教师教育研究的多元视角观照</w:t>
      </w:r>
    </w:p>
    <w:p w14:paraId="6874D9F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3、教师教育研究基本路径和策略</w:t>
      </w:r>
    </w:p>
    <w:p w14:paraId="7A8C397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（三）教师教育研究的设计与实施</w:t>
      </w:r>
    </w:p>
    <w:p w14:paraId="16E0B68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1、基于科学旨趣的量化研究设计</w:t>
      </w:r>
    </w:p>
    <w:p w14:paraId="6065899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2、注重深度描述的质性研究设计</w:t>
      </w:r>
    </w:p>
    <w:p w14:paraId="42325BE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3、教师教育研究的其他常用设计</w:t>
      </w:r>
    </w:p>
    <w:p w14:paraId="3B92279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六、教师教育学课程建设</w:t>
      </w:r>
    </w:p>
    <w:p w14:paraId="1622F45E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（一）教师教育学的课程编制</w:t>
      </w:r>
    </w:p>
    <w:p w14:paraId="22DB343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1、教师教育学课程编制的理念</w:t>
      </w:r>
    </w:p>
    <w:p w14:paraId="463CF68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2、教师教育学课程编制的原则</w:t>
      </w:r>
    </w:p>
    <w:p w14:paraId="7BCDFA1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3、教师教育学课程编制的要求</w:t>
      </w:r>
    </w:p>
    <w:p w14:paraId="526FF9B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（二）教师教育学的课程实施</w:t>
      </w:r>
    </w:p>
    <w:p w14:paraId="73DC27D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1、教师教育学课程实施的取向</w:t>
      </w:r>
    </w:p>
    <w:p w14:paraId="51A24CC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2、教师教育学课程实施的方法</w:t>
      </w:r>
    </w:p>
    <w:p w14:paraId="59DF02C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3、教师教育学课程实施的途径</w:t>
      </w:r>
    </w:p>
    <w:p w14:paraId="63FE427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（三）教师教育学的课程评价</w:t>
      </w:r>
    </w:p>
    <w:p w14:paraId="0CE574C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1、教师教育学课程评价的理念</w:t>
      </w:r>
    </w:p>
    <w:p w14:paraId="6337803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2、教师教育学课程评价的原则</w:t>
      </w:r>
    </w:p>
    <w:p w14:paraId="05101FE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3、教师教育学课程评价的要求</w:t>
      </w:r>
    </w:p>
    <w:p w14:paraId="335F39B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七、教师教育学实践模式</w:t>
      </w:r>
    </w:p>
    <w:p w14:paraId="72606A2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（一）传统实践模式反思回顾</w:t>
      </w:r>
    </w:p>
    <w:p w14:paraId="632FC6B4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1、传统实践模式的历史演变</w:t>
      </w:r>
    </w:p>
    <w:p w14:paraId="6F6FAE4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2、传统实践模式的时代挑战</w:t>
      </w:r>
    </w:p>
    <w:p w14:paraId="054B5D5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3、传统实践模式的弊端分析</w:t>
      </w:r>
    </w:p>
    <w:p w14:paraId="1491902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（二）国外实践模式比较分析</w:t>
      </w:r>
    </w:p>
    <w:p w14:paraId="117C3B9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1、国外实践模式的发展演进</w:t>
      </w:r>
    </w:p>
    <w:p w14:paraId="2B4CA0E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2、国外实践模式的当代特征</w:t>
      </w:r>
    </w:p>
    <w:p w14:paraId="2891B44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3、美国实践模式的个案剖析</w:t>
      </w:r>
    </w:p>
    <w:p w14:paraId="0FDDD03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（三）未来实践模式创新构想</w:t>
      </w:r>
    </w:p>
    <w:p w14:paraId="215927D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1、坚持教师培养模式大学化</w:t>
      </w:r>
    </w:p>
    <w:p w14:paraId="454FEEED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2、实施培养模式的创新变革</w:t>
      </w:r>
    </w:p>
    <w:p w14:paraId="145665D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3、实践模式改进的实施建议</w:t>
      </w:r>
    </w:p>
    <w:p w14:paraId="781FC1DE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八、教师教育学终身理念</w:t>
      </w:r>
    </w:p>
    <w:p w14:paraId="3CB74A0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 终身教育与教师教育学</w:t>
      </w:r>
    </w:p>
    <w:p w14:paraId="6501E11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1、终身教育时代之教育图景</w:t>
      </w:r>
    </w:p>
    <w:p w14:paraId="1EB65704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2、终身教育与教师教育关系</w:t>
      </w:r>
    </w:p>
    <w:p w14:paraId="4252961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3、终身教育下教师教育现状</w:t>
      </w:r>
    </w:p>
    <w:p w14:paraId="0DD327E1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（二）国际教师终身教育嬗变</w:t>
      </w:r>
    </w:p>
    <w:p w14:paraId="532B79F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1、欧美教师终身教育的现状</w:t>
      </w:r>
    </w:p>
    <w:p w14:paraId="29C4776E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2、日本教师终身教育的现状</w:t>
      </w:r>
    </w:p>
    <w:p w14:paraId="330CC14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3、国际教师终身教育的趋势</w:t>
      </w:r>
    </w:p>
    <w:p w14:paraId="00F10F57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（三）创建教师终身教育体系</w:t>
      </w:r>
    </w:p>
    <w:p w14:paraId="4E84E68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1、教师终身教育体系的理念</w:t>
      </w:r>
    </w:p>
    <w:p w14:paraId="6D6B23D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2、教师终身教育体系的构建</w:t>
      </w:r>
    </w:p>
    <w:p w14:paraId="373011C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3、教师终身教育体系的保障</w:t>
      </w:r>
    </w:p>
    <w:p w14:paraId="7FAC208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九、教师教育学文化特色</w:t>
      </w:r>
    </w:p>
    <w:p w14:paraId="5E32B7E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（一）教师教育学的文化渊源</w:t>
      </w:r>
    </w:p>
    <w:p w14:paraId="5B5CCA7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1、教师教育学与文化的关系</w:t>
      </w:r>
    </w:p>
    <w:p w14:paraId="6B3D6E40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2、教师教育学与文化的变革</w:t>
      </w:r>
    </w:p>
    <w:p w14:paraId="1D4F179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3、当代文化挑战教师教育</w:t>
      </w:r>
    </w:p>
    <w:p w14:paraId="7E5448D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（二）教师教育学的文化价值</w:t>
      </w:r>
    </w:p>
    <w:p w14:paraId="7A21D3F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1、教师精神文化与教师教育学</w:t>
      </w:r>
    </w:p>
    <w:p w14:paraId="415C971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2、教师制度文化与教师教育学</w:t>
      </w:r>
    </w:p>
    <w:p w14:paraId="599757B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3、教师行为文化与教师教育学</w:t>
      </w:r>
    </w:p>
    <w:p w14:paraId="2495DA2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（三）教师教育学的文化建设</w:t>
      </w:r>
    </w:p>
    <w:p w14:paraId="2E02F6C2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1、教师教育学的文化建设的内涵特征</w:t>
      </w:r>
    </w:p>
    <w:p w14:paraId="5D3EE91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2、教师教育学的文化建设的重要性</w:t>
      </w:r>
    </w:p>
    <w:p w14:paraId="0FB1E39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3、教师教育学的文化建设的方法策略</w:t>
      </w:r>
    </w:p>
    <w:p w14:paraId="7C519DF3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十、教师教育学政策导向</w:t>
      </w:r>
    </w:p>
    <w:p w14:paraId="1616519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（一）优先发展的战略地位</w:t>
      </w:r>
    </w:p>
    <w:p w14:paraId="25A18FA6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1、近代师范教育的诞生</w:t>
      </w:r>
    </w:p>
    <w:p w14:paraId="192E3BA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2、教师教育面临的挑战</w:t>
      </w:r>
    </w:p>
    <w:p w14:paraId="1CAA98C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3、教育大计，教师为本</w:t>
      </w:r>
    </w:p>
    <w:p w14:paraId="7695B76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（二）专业化中的教师职业</w:t>
      </w:r>
    </w:p>
    <w:p w14:paraId="1CD12277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1、专业的特征和构成要素</w:t>
      </w:r>
    </w:p>
    <w:p w14:paraId="6497046F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2、教师的专业性质与内容</w:t>
      </w:r>
    </w:p>
    <w:p w14:paraId="65F8B6EB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3、教师专业化的发展途径</w:t>
      </w:r>
    </w:p>
    <w:p w14:paraId="712EDE9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（三）人事制度改革为动力</w:t>
      </w:r>
    </w:p>
    <w:p w14:paraId="7E84D547">
      <w:pPr>
        <w:spacing w:line="36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1、实行新</w:t>
      </w:r>
      <w:r>
        <w:rPr>
          <w:rFonts w:hint="eastAsia" w:ascii="新宋体" w:hAnsi="新宋体" w:eastAsia="新宋体"/>
          <w:sz w:val="28"/>
          <w:szCs w:val="28"/>
        </w:rPr>
        <w:t>型教师身份制度</w:t>
      </w:r>
    </w:p>
    <w:p w14:paraId="42D9C47D">
      <w:pPr>
        <w:spacing w:line="360" w:lineRule="exac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2、改革学校教师</w:t>
      </w:r>
      <w:r>
        <w:rPr>
          <w:rFonts w:hint="eastAsia" w:ascii="宋体" w:hAnsi="宋体" w:cs="宋体"/>
          <w:color w:val="000000"/>
          <w:sz w:val="28"/>
          <w:szCs w:val="28"/>
        </w:rPr>
        <w:t>人事制度</w:t>
      </w:r>
    </w:p>
    <w:p w14:paraId="4CBFCF7A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3、建立现代教师教育制度</w:t>
      </w:r>
    </w:p>
    <w:p w14:paraId="2EF0C498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 w14:paraId="3E30EE0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主要参考书：</w:t>
      </w:r>
    </w:p>
    <w:p w14:paraId="0050ABEC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１、陈永明等著：《教师教育学》，北京大学出版社2012年。</w:t>
      </w:r>
    </w:p>
    <w:p w14:paraId="2B27BAB9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２、朱旭东等著：《中国教师教育体系研究》，北京师范大学出版社2020年。</w:t>
      </w:r>
    </w:p>
    <w:p w14:paraId="03B2A475">
      <w:pPr>
        <w:widowControl/>
        <w:shd w:val="clear" w:color="auto" w:fill="FFFFFF"/>
        <w:tabs>
          <w:tab w:val="left" w:pos="900"/>
        </w:tabs>
        <w:spacing w:line="360" w:lineRule="exact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 w14:paraId="1226720C">
      <w:pPr>
        <w:spacing w:line="360" w:lineRule="exact"/>
      </w:pP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211" w:right="1418" w:bottom="1247" w:left="1871" w:header="851" w:footer="992" w:gutter="0"/>
      <w:cols w:space="720" w:num="1"/>
      <w:docGrid w:type="lines" w:linePitch="3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DF9B7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  <w:lang/>
      </w:rPr>
      <w:t>6</w:t>
    </w:r>
    <w:r>
      <w:fldChar w:fldCharType="end"/>
    </w:r>
  </w:p>
  <w:p w14:paraId="0CB12625"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7F7D2"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3C0BB711">
    <w:pPr>
      <w:pStyle w:val="9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97"/>
    <w:rsid w:val="000419AE"/>
    <w:rsid w:val="00060ED7"/>
    <w:rsid w:val="000C7623"/>
    <w:rsid w:val="000D1033"/>
    <w:rsid w:val="000E7D28"/>
    <w:rsid w:val="000F5B8B"/>
    <w:rsid w:val="00182497"/>
    <w:rsid w:val="00191923"/>
    <w:rsid w:val="001967A2"/>
    <w:rsid w:val="00227900"/>
    <w:rsid w:val="003D6D4E"/>
    <w:rsid w:val="00443AC1"/>
    <w:rsid w:val="004B6F4E"/>
    <w:rsid w:val="004E57A4"/>
    <w:rsid w:val="0064213B"/>
    <w:rsid w:val="007B196F"/>
    <w:rsid w:val="007E2177"/>
    <w:rsid w:val="0092355F"/>
    <w:rsid w:val="00A04F57"/>
    <w:rsid w:val="00A47210"/>
    <w:rsid w:val="00A70B1C"/>
    <w:rsid w:val="00B05B9E"/>
    <w:rsid w:val="00B76233"/>
    <w:rsid w:val="00C9521B"/>
    <w:rsid w:val="00D27D24"/>
    <w:rsid w:val="00DC7196"/>
    <w:rsid w:val="00E01F53"/>
    <w:rsid w:val="00E75255"/>
    <w:rsid w:val="00EF3A74"/>
    <w:rsid w:val="00F111C4"/>
    <w:rsid w:val="00FA6839"/>
    <w:rsid w:val="00FC4C07"/>
    <w:rsid w:val="08C94CC2"/>
    <w:rsid w:val="0EDA1489"/>
    <w:rsid w:val="149334C5"/>
    <w:rsid w:val="1AF31D16"/>
    <w:rsid w:val="216B179F"/>
    <w:rsid w:val="21C64B5E"/>
    <w:rsid w:val="263F0257"/>
    <w:rsid w:val="3D652E9A"/>
    <w:rsid w:val="42695F07"/>
    <w:rsid w:val="540A3B64"/>
    <w:rsid w:val="5AA86B43"/>
    <w:rsid w:val="72881F38"/>
    <w:rsid w:val="7A2973E7"/>
    <w:rsid w:val="7DE026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宋体"/>
      <w:sz w:val="24"/>
      <w:szCs w:val="22"/>
    </w:rPr>
  </w:style>
  <w:style w:type="paragraph" w:styleId="5">
    <w:name w:val="Body Text Indent"/>
    <w:basedOn w:val="1"/>
    <w:uiPriority w:val="0"/>
    <w:pPr>
      <w:ind w:firstLine="420" w:firstLineChars="200"/>
    </w:pPr>
  </w:style>
  <w:style w:type="paragraph" w:styleId="6">
    <w:name w:val="Block Text"/>
    <w:basedOn w:val="1"/>
    <w:uiPriority w:val="0"/>
    <w:pPr>
      <w:spacing w:line="380" w:lineRule="exact"/>
      <w:ind w:left="420" w:leftChars="200" w:right="420" w:rightChars="200" w:firstLine="482"/>
    </w:pPr>
    <w:rPr>
      <w:rFonts w:ascii="楷体_GB2312" w:hAnsi="华文楷体" w:eastAsia="楷体_GB2312"/>
      <w:sz w:val="18"/>
      <w:szCs w:val="18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uiPriority w:val="0"/>
    <w:pPr>
      <w:ind w:firstLine="435"/>
    </w:pPr>
    <w:rPr>
      <w:sz w:val="24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spacing w:line="380" w:lineRule="exact"/>
      <w:ind w:right="-21" w:rightChars="-10" w:firstLine="360" w:firstLineChars="200"/>
    </w:pPr>
    <w:rPr>
      <w:rFonts w:ascii="楷体_GB2312" w:hAnsi="华文楷体" w:eastAsia="楷体_GB2312"/>
      <w:sz w:val="18"/>
      <w:szCs w:val="18"/>
    </w:rPr>
  </w:style>
  <w:style w:type="paragraph" w:styleId="12">
    <w:name w:val="Body Text 2"/>
    <w:basedOn w:val="1"/>
    <w:uiPriority w:val="0"/>
    <w:pPr>
      <w:spacing w:line="380" w:lineRule="exact"/>
      <w:ind w:right="-21" w:rightChars="-10"/>
    </w:pPr>
    <w:rPr>
      <w:rFonts w:ascii="楷体_GB2312" w:hAnsi="华文楷体" w:eastAsia="楷体_GB2312"/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页眉 Char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oblog_text"/>
    <w:uiPriority w:val="0"/>
  </w:style>
  <w:style w:type="character" w:customStyle="1" w:styleId="21">
    <w:name w:val="ll1"/>
    <w:uiPriority w:val="0"/>
  </w:style>
  <w:style w:type="character" w:customStyle="1" w:styleId="22">
    <w:name w:val="content1"/>
    <w:uiPriority w:val="0"/>
  </w:style>
  <w:style w:type="paragraph" w:customStyle="1" w:styleId="23">
    <w:name w:val="普通 (Web)"/>
    <w:basedOn w:val="1"/>
    <w:uiPriority w:val="0"/>
    <w:pPr>
      <w:widowControl/>
      <w:spacing w:before="102" w:after="102" w:line="351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val="none" w:color="000000"/>
    </w:rPr>
  </w:style>
  <w:style w:type="paragraph" w:customStyle="1" w:styleId="24">
    <w:name w:val="样式5"/>
    <w:basedOn w:val="1"/>
    <w:uiPriority w:val="0"/>
    <w:pPr>
      <w:spacing w:line="360" w:lineRule="auto"/>
      <w:ind w:firstLine="482"/>
    </w:pPr>
    <w:rPr>
      <w:rFonts w:ascii="Arial" w:hAnsi="Arial" w:eastAsia="楷体_GB2312"/>
      <w:sz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2111</Characters>
  <Lines>17</Lines>
  <Paragraphs>4</Paragraphs>
  <TotalTime>0</TotalTime>
  <ScaleCrop>false</ScaleCrop>
  <LinksUpToDate>false</LinksUpToDate>
  <CharactersWithSpaces>2477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2009-09-15T03:17:00Z</dcterms:created>
  <dc:creator>报名</dc:creator>
  <cp:lastModifiedBy>vertesyuan</cp:lastModifiedBy>
  <dcterms:modified xsi:type="dcterms:W3CDTF">2024-10-10T09:09:15Z</dcterms:modified>
  <dc:title>全日制攻读教育硕士专业学位入学考试大纲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8EA5B208C45144AD8ABDB804193E752F_13</vt:lpwstr>
  </property>
</Properties>
</file>