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73692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Hlk17396202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33D857F">
      <w:pPr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</w:p>
    <w:p w14:paraId="553BE541">
      <w:pPr>
        <w:spacing w:line="300" w:lineRule="auto"/>
      </w:pPr>
      <w:r>
        <w:rPr>
          <w:rFonts w:hint="eastAsia" w:ascii="黑体" w:hAnsi="黑体" w:eastAsia="黑体"/>
          <w:b/>
        </w:rPr>
        <w:t>考试科目</w:t>
      </w:r>
      <w:r>
        <w:rPr>
          <w:rFonts w:hint="eastAsia"/>
          <w:b/>
        </w:rPr>
        <w:t>：</w:t>
      </w:r>
      <w:r>
        <w:rPr>
          <w:rFonts w:hint="eastAsia"/>
        </w:rPr>
        <w:t xml:space="preserve">会计综合 </w:t>
      </w:r>
      <w:r>
        <w:t xml:space="preserve">       </w:t>
      </w:r>
    </w:p>
    <w:p w14:paraId="7F0506BB">
      <w:pPr>
        <w:spacing w:line="360" w:lineRule="auto"/>
        <w:rPr>
          <w:rFonts w:asciiTheme="minorEastAsia" w:hAnsiTheme="minorEastAsia"/>
        </w:rPr>
      </w:pPr>
      <w:r>
        <w:rPr>
          <w:rFonts w:hint="eastAsia" w:ascii="黑体" w:hAnsi="黑体" w:eastAsia="黑体"/>
          <w:b/>
        </w:rPr>
        <w:t>考试题型：</w:t>
      </w:r>
      <w:r>
        <w:rPr>
          <w:rFonts w:hint="eastAsia" w:asciiTheme="minorEastAsia" w:hAnsiTheme="minorEastAsia"/>
        </w:rPr>
        <w:t>单选题、多选题、判断题、名词解释、业务题、综合题</w:t>
      </w:r>
      <w:r>
        <w:rPr>
          <w:rFonts w:asciiTheme="minorEastAsia" w:hAnsiTheme="minorEastAsia"/>
        </w:rPr>
        <w:t xml:space="preserve">      </w:t>
      </w:r>
    </w:p>
    <w:p w14:paraId="7A87B119">
      <w:pPr>
        <w:spacing w:line="300" w:lineRule="auto"/>
        <w:rPr>
          <w:rFonts w:hint="eastAsia"/>
        </w:rPr>
      </w:pPr>
      <w:r>
        <w:rPr>
          <w:rFonts w:hint="eastAsia" w:ascii="黑体" w:hAnsi="黑体" w:eastAsia="黑体"/>
          <w:b/>
        </w:rPr>
        <w:t>考试范围</w:t>
      </w:r>
      <w:r>
        <w:rPr>
          <w:rFonts w:hint="eastAsia"/>
          <w:b/>
        </w:rPr>
        <w:t>：</w:t>
      </w:r>
      <w:r>
        <w:rPr>
          <w:rFonts w:hint="eastAsia"/>
        </w:rPr>
        <w:t>财务会计、财务管理、成本与管理会计</w:t>
      </w:r>
    </w:p>
    <w:bookmarkEnd w:id="0"/>
    <w:p w14:paraId="66246DD4">
      <w:pPr>
        <w:spacing w:line="300" w:lineRule="auto"/>
        <w:rPr>
          <w:rFonts w:hint="eastAsia"/>
        </w:rPr>
      </w:pPr>
    </w:p>
    <w:p w14:paraId="1E964A70">
      <w:pPr>
        <w:spacing w:line="300" w:lineRule="auto"/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第一部分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财务会计（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40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分）</w:t>
      </w:r>
    </w:p>
    <w:p w14:paraId="06B27E29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第一章  总论  </w:t>
      </w:r>
    </w:p>
    <w:p w14:paraId="089EABB6"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4A2E1D2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财务报告目标、会计基本假设与会计基础、会计信息质量要求、会计要素及其确认与计量、财务报告</w:t>
      </w:r>
    </w:p>
    <w:p w14:paraId="6621A900"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345D4F8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会计基本假设与会计基础、会计信息质量要求、会计要素及其确认与计量、 财务会计报告的组成</w:t>
      </w:r>
    </w:p>
    <w:p w14:paraId="7AC192E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b/>
          <w:bCs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会计计量属性、财务会计报告的目标与内容</w:t>
      </w:r>
    </w:p>
    <w:p w14:paraId="6F2EDC4C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第二章  金融资产 </w:t>
      </w:r>
    </w:p>
    <w:p w14:paraId="73C64B03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1938B897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金融资产的定义和分类、以摊余成本计量的金融资产、以公允价值计量且其变动计入其他综合收益的金融资产、以公允价值计量且其变动计入当期损益。</w:t>
      </w:r>
    </w:p>
    <w:p w14:paraId="300E2E2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2B0C877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金融资产的分类、各类金融资产（以摊余成本计量的金融资产、以公允价值计量且其变动计入其他综合收益的金融资产、以公允价值计量且其变动计入当期损益）的账务处理</w:t>
      </w:r>
    </w:p>
    <w:p w14:paraId="1AB509F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上述金融资产在财务报告中的不同表现形式</w:t>
      </w:r>
    </w:p>
    <w:p w14:paraId="2E4D062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第三章  存货 </w:t>
      </w:r>
    </w:p>
    <w:p w14:paraId="5BF0E3F2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4365B17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存货的确认和初始计量、发出存货的计量、期末存货的计量、存货的账务处理</w:t>
      </w:r>
    </w:p>
    <w:p w14:paraId="2F55704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7BC0418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自制与外购存货的确认和初始计量、 发出存货成本的计量、期末存货的计量</w:t>
      </w:r>
    </w:p>
    <w:p w14:paraId="199EE90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存货收、发、存的账务处理以及存货减值的账务处理</w:t>
      </w:r>
    </w:p>
    <w:p w14:paraId="005E9DA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委托加工存货和周转材料的账务处理、存货清查的账务处理</w:t>
      </w:r>
    </w:p>
    <w:p w14:paraId="48D360B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不同存货计价方法的财务影响</w:t>
      </w:r>
    </w:p>
    <w:p w14:paraId="70324424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第四章  长期股权投资  </w:t>
      </w:r>
    </w:p>
    <w:p w14:paraId="536D0460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184DB4E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长期股权投资的初始计量、长期股权投资的后续计量</w:t>
      </w:r>
    </w:p>
    <w:p w14:paraId="782226E8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513B916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长期股权投资的确认和初始计量、成本法和权益法的账务处理原则</w:t>
      </w:r>
    </w:p>
    <w:p w14:paraId="7547329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长期股权投资的后续计量 </w:t>
      </w:r>
    </w:p>
    <w:p w14:paraId="476D31A2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第五章  固定资产 </w:t>
      </w:r>
    </w:p>
    <w:p w14:paraId="4315FF13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3DE752F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固定资产的确认和初始计量、后续计量、固定资产的处置</w:t>
      </w:r>
    </w:p>
    <w:p w14:paraId="6E66D07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7958D71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固定资产取得、减值、折旧的账务处理，以及固定资产折旧的不同计算方法</w:t>
      </w:r>
    </w:p>
    <w:p w14:paraId="6040C0C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固定资产计价方式及计提折旧的原则和范围、固定资产后续支出和处置的账务处理</w:t>
      </w:r>
    </w:p>
    <w:p w14:paraId="2F31A03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企业采用不同折旧方法的财务影响</w:t>
      </w:r>
    </w:p>
    <w:p w14:paraId="1DDD123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固定资产的性质和分类</w:t>
      </w:r>
    </w:p>
    <w:p w14:paraId="45116BF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第六章  无形资产  </w:t>
      </w:r>
    </w:p>
    <w:p w14:paraId="48682A0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5F21A1C4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无形资产的确认和初始计量、内部研究与开发支出的确认和计量 、无形资产的后续计量、无形资产的处置</w:t>
      </w:r>
    </w:p>
    <w:p w14:paraId="2847B7C4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6261B2B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无形资产取得与后续计量的账务处理</w:t>
      </w:r>
    </w:p>
    <w:p w14:paraId="59111DF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研究与开发支出的账务处理原则</w:t>
      </w:r>
    </w:p>
    <w:p w14:paraId="00B8967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无形资产的性质和分类</w:t>
      </w:r>
    </w:p>
    <w:p w14:paraId="4471B42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第七章  负债  </w:t>
      </w:r>
    </w:p>
    <w:p w14:paraId="59199409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45510E5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流动负债、 非流动负债</w:t>
      </w:r>
    </w:p>
    <w:p w14:paraId="519FD6C0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7BFE77F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短期借款、应付账款、应付票据、应交税费和应付职工薪酬的账务处理</w:t>
      </w:r>
    </w:p>
    <w:p w14:paraId="6C4D0E0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长期借款、应付债券的账务处理</w:t>
      </w:r>
    </w:p>
    <w:p w14:paraId="631F1D1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借款费用、其他应付款的确认与计量</w:t>
      </w:r>
    </w:p>
    <w:p w14:paraId="3BAC0EB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负债的分类与计价</w:t>
      </w:r>
    </w:p>
    <w:p w14:paraId="52BE4D83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第八章  所有者权益  </w:t>
      </w:r>
    </w:p>
    <w:p w14:paraId="69B08729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343E114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实收资本(股本)、资本公积、其他综合收益、留存收益</w:t>
      </w:r>
    </w:p>
    <w:p w14:paraId="4C2A95E8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18C5C47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实收资本（股本）、其他综合收益的账务处理</w:t>
      </w:r>
    </w:p>
    <w:p w14:paraId="760DF0C0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资本公积和留存收益的账务处理</w:t>
      </w:r>
    </w:p>
    <w:p w14:paraId="0FD9DD74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所有者权益的特征与构成</w:t>
      </w:r>
    </w:p>
    <w:p w14:paraId="34116D9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第九章  收入、费用和利润  </w:t>
      </w:r>
    </w:p>
    <w:p w14:paraId="1BA68B35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5F37370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收入、费用、利润</w:t>
      </w:r>
    </w:p>
    <w:p w14:paraId="64482D3D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3FFC617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收入和费用的账务处理、利润的构成内容</w:t>
      </w:r>
    </w:p>
    <w:p w14:paraId="5034DA9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本年利润、所得税费用和利润分配的账务处理</w:t>
      </w:r>
    </w:p>
    <w:p w14:paraId="16B1C49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收入和费用的概念、特征及分类</w:t>
      </w:r>
    </w:p>
    <w:p w14:paraId="3CCECAFD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第十章  财务报告  </w:t>
      </w:r>
    </w:p>
    <w:p w14:paraId="644E1D5B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3C916E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财务报告概述、资产负债表、 利润表、 现金流量表、所有者权益变动表、附注</w:t>
      </w:r>
    </w:p>
    <w:p w14:paraId="74809CD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050EE1A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资产负债表、利润表、现金流量表、所有者权益变动表的基本内容</w:t>
      </w:r>
    </w:p>
    <w:p w14:paraId="26F3271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附注的基本内容</w:t>
      </w:r>
    </w:p>
    <w:p w14:paraId="5930A23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财务报告的含义、作用和编制方法</w:t>
      </w:r>
    </w:p>
    <w:p w14:paraId="39CCA6B2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第十一章  或有事项 </w:t>
      </w:r>
    </w:p>
    <w:p w14:paraId="7B23DEC4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A25F8D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或有事项概述、或有事项的确认和计量、或有事项的列报</w:t>
      </w:r>
    </w:p>
    <w:p w14:paraId="0DC74E42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3211F5C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或有事项的确认、计量和列报</w:t>
      </w:r>
    </w:p>
    <w:p w14:paraId="760E5E74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或有事项的概念</w:t>
      </w:r>
    </w:p>
    <w:p w14:paraId="204A8AD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第十二章  资产负债表日后事项 </w:t>
      </w:r>
    </w:p>
    <w:p w14:paraId="66BC455F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5FBE385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资产负债表日后事项概述、调整事项的会计处理、非调整事项的会计处理</w:t>
      </w:r>
    </w:p>
    <w:p w14:paraId="1F84FC03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4BC4C9B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资产负债表日后事项的概念</w:t>
      </w:r>
    </w:p>
    <w:p w14:paraId="577B6E6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资产负债表日后调整事项及非调整事项的处理方法</w:t>
      </w:r>
    </w:p>
    <w:p w14:paraId="35469DF0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第十三章  会计政策、会计估计变更和差错更正 </w:t>
      </w:r>
    </w:p>
    <w:p w14:paraId="7125CF16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5286631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会计政策及其变更、会计估计及其变更、前期差错及其更正</w:t>
      </w:r>
    </w:p>
    <w:p w14:paraId="08948356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447F382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会计政策变更和会计估计变更的条件</w:t>
      </w:r>
    </w:p>
    <w:p w14:paraId="5F994B8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会计政策变更、会计估计变更和会计差错更正的种类及账务处理</w:t>
      </w:r>
    </w:p>
    <w:p w14:paraId="16F3C92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会计政策变更和会计估计变更的会计处理方法</w:t>
      </w:r>
    </w:p>
    <w:p w14:paraId="21786C61">
      <w:pPr>
        <w:spacing w:line="300" w:lineRule="auto"/>
        <w:rPr>
          <w:rFonts w:hint="eastAsia"/>
        </w:rPr>
      </w:pPr>
    </w:p>
    <w:p w14:paraId="23E29A36">
      <w:pPr>
        <w:spacing w:line="300" w:lineRule="auto"/>
        <w:rPr>
          <w:rFonts w:hint="eastAsia"/>
        </w:rPr>
      </w:pPr>
    </w:p>
    <w:p w14:paraId="4742BC58">
      <w:pPr>
        <w:spacing w:line="300" w:lineRule="auto"/>
        <w:rPr>
          <w:rFonts w:hint="eastAsia"/>
        </w:rPr>
      </w:pPr>
    </w:p>
    <w:p w14:paraId="664054AF">
      <w:pPr>
        <w:spacing w:line="300" w:lineRule="auto"/>
        <w:rPr>
          <w:rFonts w:hint="eastAsia"/>
        </w:rPr>
      </w:pPr>
    </w:p>
    <w:p w14:paraId="4CFD99CF">
      <w:pPr>
        <w:spacing w:line="300" w:lineRule="auto"/>
        <w:rPr>
          <w:rFonts w:hint="eastAsia" w:ascii="Microsoft YaHei UI" w:hAnsi="Microsoft YaHei UI" w:eastAsia="Microsoft YaHei UI" w:cs="宋体"/>
          <w:b/>
          <w:bCs/>
          <w:spacing w:val="8"/>
          <w:kern w:val="0"/>
          <w:sz w:val="24"/>
          <w:szCs w:val="24"/>
        </w:rPr>
      </w:pP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第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二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部分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财务管理（3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0分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）</w:t>
      </w:r>
    </w:p>
    <w:p w14:paraId="38028B0B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第一章 总论  </w:t>
      </w:r>
    </w:p>
    <w:p w14:paraId="549CED9A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354072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财务管理的概念、财务管理的⽬标、财务管理的环境</w:t>
      </w:r>
    </w:p>
    <w:p w14:paraId="69A37E0B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4027572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财务管理概念、内容</w:t>
      </w:r>
    </w:p>
    <w:p w14:paraId="4046F68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财务管理的目标、财务管理的环境</w:t>
      </w:r>
    </w:p>
    <w:p w14:paraId="7D6CECA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财务关系及其协调</w:t>
      </w:r>
    </w:p>
    <w:p w14:paraId="56BF279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第二章 财务估值的基础  </w:t>
      </w:r>
    </w:p>
    <w:p w14:paraId="7E5FC2B8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3ABE036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货币时间价值、风险和收益、证券估值</w:t>
      </w:r>
    </w:p>
    <w:p w14:paraId="269487D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2B2D0B2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时间价值和风险价值的相关内容与计算方法</w:t>
      </w:r>
    </w:p>
    <w:p w14:paraId="7A11467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时间价值的本质及其应用</w:t>
      </w:r>
    </w:p>
    <w:p w14:paraId="03C8E34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熟悉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证券投资组合的风险及其测定</w:t>
      </w:r>
    </w:p>
    <w:p w14:paraId="4CC4D0EC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第三章 财务分析  </w:t>
      </w:r>
    </w:p>
    <w:p w14:paraId="358FC04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66D1509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偿债能力分析、营运能力分析、获利能力分析、发展能力分析、综合财务分析</w:t>
      </w:r>
    </w:p>
    <w:p w14:paraId="070EA6E7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582595C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财务报表分析的基本方法和基本指标体系、以及财务综合分析方法</w:t>
      </w:r>
    </w:p>
    <w:p w14:paraId="34F0C7E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分析和判断公司的偿债能力、营运能力、盈利能力、指出企业财务状况现存的问题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做出正确的评价结论</w:t>
      </w:r>
    </w:p>
    <w:p w14:paraId="1432522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财务报表分析的作用、分析程序及财务报表资料的局限性</w:t>
      </w:r>
    </w:p>
    <w:p w14:paraId="6987269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第四章 长期筹资决策  </w:t>
      </w:r>
    </w:p>
    <w:p w14:paraId="00E163ED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61C33D7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资本成本、资本结构、普通股筹资、长期负债筹资</w:t>
      </w:r>
    </w:p>
    <w:p w14:paraId="1A1A9558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08E00100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企业筹资的渠道与方式、以及各种筹资方式优缺点</w:t>
      </w:r>
    </w:p>
    <w:p w14:paraId="1493210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企业资金需要量预测的基本方法</w:t>
      </w:r>
    </w:p>
    <w:p w14:paraId="6B672D6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个别资本成本、综合资本成本的计算以及各种杠杆系数的计算</w:t>
      </w:r>
    </w:p>
    <w:p w14:paraId="7045F87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各种杠杆与企业风险的关系、资本结构的意义及基本决策方法</w:t>
      </w:r>
    </w:p>
    <w:p w14:paraId="475B1AF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企业筹资的基本原则、企业筹资的动机以及筹资的分类</w:t>
      </w:r>
    </w:p>
    <w:p w14:paraId="0D2584AB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第五章 投资决策  </w:t>
      </w:r>
    </w:p>
    <w:p w14:paraId="735F43EC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8BDB09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投资的概念、投资的现⾦流量分析、投资决策评价指标及其计算</w:t>
      </w:r>
    </w:p>
    <w:p w14:paraId="102C7470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147BAF87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项目投资的动态和静态财务评价指标的计算、以及这些指标在内部长期投资决策中的具体运用</w:t>
      </w:r>
    </w:p>
    <w:p w14:paraId="6809826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不同决策分析指标的优缺点以及对比分析</w:t>
      </w:r>
    </w:p>
    <w:p w14:paraId="4FDD1B70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Microsoft YaHei UI" w:hAnsi="Microsoft YaHei UI" w:eastAsia="Microsoft YaHei UI"/>
          <w:spacing w:val="8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投资的内涵、投资的目标、投资的分类</w:t>
      </w:r>
    </w:p>
    <w:p w14:paraId="707265FC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第六章 营运资金管理 </w:t>
      </w:r>
    </w:p>
    <w:p w14:paraId="6FBF6DA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1DDDA7B6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短期资产管理、短期筹资管理</w:t>
      </w:r>
    </w:p>
    <w:p w14:paraId="5B77AC16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19119FF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营运资金的概念、流动资产持有政策、最佳现金持有量的确定、存货储备的动因，存货成本的内容以及存货模型</w:t>
      </w:r>
    </w:p>
    <w:p w14:paraId="54325D4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现金的持有动机和现金的日常管理、流动负债的融资政策</w:t>
      </w:r>
    </w:p>
    <w:p w14:paraId="2B3186D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流动资产持有政策和流动负债融资政策的配合</w:t>
      </w:r>
    </w:p>
    <w:p w14:paraId="260EF7B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营运资金的特点及营运资金管理的要求</w:t>
      </w:r>
    </w:p>
    <w:p w14:paraId="2741185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应收账款的功能、应收账款日常管理、信用政策的制定</w:t>
      </w:r>
    </w:p>
    <w:p w14:paraId="0750AA8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短期借款的种类、基本程序、信用条件，以及短期借款的利息计算以及短期借款融资的评价；</w:t>
      </w:r>
    </w:p>
    <w:p w14:paraId="3CAB222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短期融资券种类、发行程序、短期融资券融资的评价</w:t>
      </w:r>
    </w:p>
    <w:p w14:paraId="0C4B4BC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第七章 股利分配  </w:t>
      </w:r>
    </w:p>
    <w:p w14:paraId="3FA7D270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440D9C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利润分配概述、股利支付的程序和方式、 股利理论与股利分配政策</w:t>
      </w:r>
    </w:p>
    <w:p w14:paraId="66F0290B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26638535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股利政策的类型、股利分配的形式和股利支付程序。</w:t>
      </w:r>
    </w:p>
    <w:p w14:paraId="52F9FF8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各种股利理论的要点与指导意义</w:t>
      </w:r>
    </w:p>
    <w:p w14:paraId="5BCD67A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分析判断影响股利政策的各种因素</w:t>
      </w:r>
    </w:p>
    <w:p w14:paraId="720EBB5F">
      <w:pPr>
        <w:spacing w:line="300" w:lineRule="auto"/>
        <w:rPr>
          <w:rFonts w:hint="eastAsia"/>
        </w:rPr>
      </w:pPr>
    </w:p>
    <w:p w14:paraId="3A372AD1">
      <w:pPr>
        <w:spacing w:line="300" w:lineRule="auto"/>
        <w:rPr>
          <w:rFonts w:hint="eastAsia"/>
        </w:rPr>
      </w:pPr>
    </w:p>
    <w:p w14:paraId="71725EC7">
      <w:pPr>
        <w:spacing w:line="300" w:lineRule="auto"/>
        <w:rPr>
          <w:rFonts w:hint="eastAsia"/>
        </w:rPr>
      </w:pPr>
    </w:p>
    <w:p w14:paraId="4BAAE3BD">
      <w:pPr>
        <w:spacing w:line="300" w:lineRule="auto"/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第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三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部分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成本与管理会计（3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0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分）</w:t>
      </w:r>
    </w:p>
    <w:p w14:paraId="75EFB5C7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第一章 总论  </w:t>
      </w:r>
    </w:p>
    <w:p w14:paraId="081D979F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724E59D8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管理会计与财务会计的区别与联系、成本的概念和分类</w:t>
      </w:r>
    </w:p>
    <w:p w14:paraId="42D99E5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319B642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成本的概念与成本的分类</w:t>
      </w:r>
    </w:p>
    <w:p w14:paraId="315E77D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  <w:shd w:val="clear" w:color="auto" w:fill="FFFFFF"/>
        </w:rPr>
        <w:t>管理会计与财务会计的区别与联系</w:t>
      </w:r>
    </w:p>
    <w:p w14:paraId="1027A7F5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第二章 产品成本核算方法  </w:t>
      </w:r>
    </w:p>
    <w:p w14:paraId="5C630E5C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5F2ACDA4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Cs w:val="21"/>
          <w:shd w:val="clear" w:color="auto" w:fill="FFFFFF"/>
        </w:rPr>
        <w:t>产品成本计算、成本的归集与分配、产品成本计算的品种法、产品成本计算的分批法、产品成本计算的分步法、作业成本法</w:t>
      </w:r>
    </w:p>
    <w:p w14:paraId="081FEDD7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4BF3FBBD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  <w:shd w:val="clear" w:color="auto" w:fill="FFFFFF"/>
        </w:rPr>
        <w:t>掌握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成本的归集与分配、产品成本计算的品种法、产品成本计算的分批法、产品成本计算的分步法</w:t>
      </w:r>
    </w:p>
    <w:p w14:paraId="6A0D690F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  <w:shd w:val="clear" w:color="auto" w:fill="FFFFFF"/>
        </w:rPr>
        <w:t>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作业成本法的概念、实施步骤与优缺点</w:t>
      </w:r>
    </w:p>
    <w:p w14:paraId="1F8457C4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Microsoft YaHei UI" w:hAnsi="Microsoft YaHei UI" w:eastAsia="Microsoft YaHei UI"/>
          <w:b w:val="0"/>
          <w:bCs w:val="0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  <w:shd w:val="clear" w:color="auto" w:fill="FFFFFF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成本计算的程序</w:t>
      </w:r>
    </w:p>
    <w:p w14:paraId="3327C296"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第三章 成本分析与成本管理 </w:t>
      </w:r>
    </w:p>
    <w:p w14:paraId="1760B9C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74C4C7FC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成本性态分析、变动成本法、成本管理方法</w:t>
      </w:r>
    </w:p>
    <w:p w14:paraId="3C38F892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70A4D3C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成本性态的概念、固定成本、变动成本和混合成本的概念及特点</w:t>
      </w:r>
    </w:p>
    <w:p w14:paraId="7E5D51D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变动成本计算法下产品成本、期间成本的内容构成与特点</w:t>
      </w:r>
    </w:p>
    <w:p w14:paraId="5D1A335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变动成本计算法下分期损益的计算程序以及分期损益计算</w:t>
      </w:r>
    </w:p>
    <w:p w14:paraId="5131A43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相关范围、固定成本的进一步划分</w:t>
      </w:r>
    </w:p>
    <w:p w14:paraId="7876CB77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变动成本法的涵义、以及变动成本计算法与完全成本计算法的区别</w:t>
      </w:r>
    </w:p>
    <w:p w14:paraId="0068987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运用高低点法、散布图法和回归分析法进行成本分解及建立成本性态模型</w:t>
      </w:r>
    </w:p>
    <w:p w14:paraId="47AE711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多个成本动因下的成本性态分析的发展与变化趋势</w:t>
      </w:r>
    </w:p>
    <w:p w14:paraId="0A3540F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变动成本计算法的优缺点。</w:t>
      </w:r>
    </w:p>
    <w:p w14:paraId="380B3CFF"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hint="eastAsia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第四章 经营决策分析</w:t>
      </w:r>
    </w:p>
    <w:p w14:paraId="222FCB9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1EA34318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经营决策分析的基本⽅法、盈亏平衡分析、经营决策中的成本概念运用、经营决策中的生产组织与外包、经营决策中的产能利用与存货</w:t>
      </w:r>
    </w:p>
    <w:p w14:paraId="7851A943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6FD75C5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盈亏平衡点的概念、盈亏平衡分析的概念</w:t>
      </w:r>
    </w:p>
    <w:p w14:paraId="33FF1A5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单一产品和多种产品盈亏平衡点的计算分析方法</w:t>
      </w:r>
    </w:p>
    <w:p w14:paraId="5CA2BBF2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安全边际、安全边际率、保本作业率、销售利润率等相关指标的计算</w:t>
      </w:r>
    </w:p>
    <w:p w14:paraId="6A11172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决策分析中区分相关成本与非相关成本的一般原则</w:t>
      </w:r>
    </w:p>
    <w:p w14:paraId="2CB2A7C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熟练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运用相关决策分析方法解决产品定价、产品生产中诸多问题的决策分析</w:t>
      </w:r>
    </w:p>
    <w:p w14:paraId="5CDC8C3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决策分析中常用的差别成本、边际成本、机会成本、沉落成本、特定成本、共同成本等成本信息</w:t>
      </w:r>
    </w:p>
    <w:p w14:paraId="13FBCF8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决策分析中相关成本与非相关成本的划分及其对决策分析的重要性</w:t>
      </w:r>
    </w:p>
    <w:p w14:paraId="3E564F8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决策成本的概念、以及决策成本信息在决策分析中的作用</w:t>
      </w:r>
    </w:p>
    <w:p w14:paraId="1036D3A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基本因素变动对盈亏平衡点的影响</w:t>
      </w:r>
    </w:p>
    <w:p w14:paraId="22636C91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盈亏平衡分析的基本假定和意义，以及不确定条件下或非线性条件下盈亏平衡分析的方法</w:t>
      </w:r>
    </w:p>
    <w:p w14:paraId="5B48AC8C"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</w:rPr>
      </w:pPr>
      <w:r>
        <w:rPr>
          <w:rStyle w:val="7"/>
          <w:rFonts w:hint="eastAsia" w:ascii="Microsoft YaHei UI" w:hAnsi="Microsoft YaHei UI" w:eastAsia="Microsoft YaHei UI"/>
          <w:spacing w:val="8"/>
          <w:sz w:val="21"/>
          <w:szCs w:val="21"/>
        </w:rPr>
        <w:t>第五章 全面预算管理</w:t>
      </w:r>
      <w:r>
        <w:rPr>
          <w:rStyle w:val="7"/>
          <w:rFonts w:hint="eastAsia" w:ascii="Microsoft YaHei UI" w:hAnsi="Microsoft YaHei UI" w:eastAsia="Microsoft YaHei UI"/>
          <w:spacing w:val="8"/>
        </w:rPr>
        <w:t> </w:t>
      </w:r>
    </w:p>
    <w:p w14:paraId="0E1067B4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26672CFF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全面预算概述、全⾯预算的类型与编制⽅法、营业预算的编制、财务预算的编制、预算实施与管理、预算结果的考评与反馈</w:t>
      </w:r>
    </w:p>
    <w:p w14:paraId="5F360CD9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3797D559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全面预算、弹性预算、零基预算的概念与作用</w:t>
      </w:r>
    </w:p>
    <w:p w14:paraId="56E07C1D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掌握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全面预算的各种编制方法</w:t>
      </w:r>
    </w:p>
    <w:p w14:paraId="7D065AFE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全面预算包含的内容、各种预算之间的关系</w:t>
      </w:r>
      <w:r>
        <w:rPr>
          <w:rFonts w:hint="eastAsia" w:ascii="Microsoft YaHei UI" w:hAnsi="Microsoft YaHei UI" w:eastAsia="Microsoft YaHei UI"/>
          <w:spacing w:val="8"/>
        </w:rPr>
        <w:br w:type="textWrapping"/>
      </w: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滚动预算、概率预算的概念与编制方法</w:t>
      </w:r>
    </w:p>
    <w:p w14:paraId="77DDC924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了解</w:t>
      </w:r>
      <w:r>
        <w:rPr>
          <w:rFonts w:hint="eastAsia" w:ascii="Microsoft YaHei UI" w:hAnsi="Microsoft YaHei UI" w:eastAsia="Microsoft YaHei UI"/>
          <w:spacing w:val="8"/>
          <w:sz w:val="21"/>
          <w:szCs w:val="21"/>
        </w:rPr>
        <w:t>预算结果的考评与反馈程序及其作用</w:t>
      </w:r>
    </w:p>
    <w:p w14:paraId="127A687C">
      <w:pPr>
        <w:pStyle w:val="4"/>
        <w:shd w:val="clear" w:color="auto" w:fill="FFFFFF"/>
        <w:spacing w:before="0" w:beforeAutospacing="0" w:after="0" w:afterAutospacing="0"/>
        <w:jc w:val="both"/>
        <w:rPr>
          <w:rStyle w:val="7"/>
          <w:rFonts w:hint="eastAsia"/>
          <w:bCs w:val="0"/>
          <w:sz w:val="21"/>
          <w:szCs w:val="21"/>
        </w:rPr>
      </w:pPr>
      <w:r>
        <w:rPr>
          <w:rStyle w:val="7"/>
          <w:rFonts w:hint="eastAsia" w:ascii="Microsoft YaHei UI" w:hAnsi="Microsoft YaHei UI" w:eastAsia="Microsoft YaHei UI"/>
          <w:bCs w:val="0"/>
          <w:spacing w:val="8"/>
          <w:sz w:val="21"/>
          <w:szCs w:val="21"/>
        </w:rPr>
        <w:t>第六章 责任会计</w:t>
      </w:r>
    </w:p>
    <w:p w14:paraId="7D072101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考试内容：</w:t>
      </w:r>
    </w:p>
    <w:p w14:paraId="158A19E7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责任会计概述、责任中心的类型与基本原则、责任会计的职能、责任会计体系与部门绩效考核</w:t>
      </w:r>
    </w:p>
    <w:p w14:paraId="6E10742E"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/>
          <w:b/>
          <w:spacing w:val="8"/>
          <w:sz w:val="21"/>
          <w:szCs w:val="21"/>
        </w:rPr>
        <w:t>考试要求：</w:t>
      </w:r>
    </w:p>
    <w:p w14:paraId="0845EA92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掌握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责任中心的含义及其分类</w:t>
      </w:r>
    </w:p>
    <w:p w14:paraId="7D449F34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掌握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成本中心、利润中心、投资中心绩效考评的指标依据与方法</w:t>
      </w:r>
    </w:p>
    <w:p w14:paraId="4C9C889F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责任会计的含义、基本内容、核算原则</w:t>
      </w:r>
    </w:p>
    <w:p w14:paraId="2C3229FC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责任成本的概念及其与产品成本的区别</w:t>
      </w:r>
    </w:p>
    <w:p w14:paraId="1B816371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可控成本的概念及其特征</w:t>
      </w:r>
    </w:p>
    <w:p w14:paraId="4DD0B70C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不同绩效考核指标的特点</w:t>
      </w:r>
      <w:bookmarkStart w:id="2" w:name="_GoBack"/>
      <w:bookmarkEnd w:id="2"/>
    </w:p>
    <w:p w14:paraId="5B0B2EC2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Cs w:val="21"/>
        </w:rPr>
        <w:t>了解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内部转移价格的含义与作用、制订内部转移价格的基本原则</w:t>
      </w:r>
    </w:p>
    <w:p w14:paraId="570DBBCA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</w:p>
    <w:p w14:paraId="44EA2320">
      <w:pPr>
        <w:spacing w:line="300" w:lineRule="auto"/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>参考教材</w:t>
      </w:r>
      <w:r>
        <w:rPr>
          <w:rStyle w:val="7"/>
          <w:rFonts w:hint="eastAsia" w:ascii="Microsoft YaHei UI" w:hAnsi="Microsoft YaHei UI" w:eastAsia="Microsoft YaHei UI" w:cs="宋体"/>
          <w:spacing w:val="8"/>
          <w:kern w:val="0"/>
          <w:sz w:val="24"/>
          <w:szCs w:val="24"/>
          <w:lang w:eastAsia="zh-CN"/>
        </w:rPr>
        <w:t>：</w:t>
      </w:r>
      <w:r>
        <w:rPr>
          <w:rStyle w:val="7"/>
          <w:rFonts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</w:t>
      </w:r>
    </w:p>
    <w:p w14:paraId="65526E4C">
      <w:pPr>
        <w:adjustRightInd w:val="0"/>
        <w:snapToGrid w:val="0"/>
        <w:rPr>
          <w:rFonts w:hint="eastAsia" w:ascii="Microsoft YaHei UI" w:hAnsi="Microsoft YaHei UI" w:eastAsia="Microsoft YaHei UI" w:cs="宋体"/>
          <w:spacing w:val="8"/>
          <w:kern w:val="0"/>
          <w:szCs w:val="21"/>
        </w:rPr>
      </w:pPr>
      <w:bookmarkStart w:id="1" w:name="_Hlk173963237"/>
      <w:r>
        <w:rPr>
          <w:rFonts w:ascii="Microsoft YaHei UI" w:hAnsi="Microsoft YaHei UI" w:eastAsia="Microsoft YaHei UI" w:cs="宋体"/>
          <w:spacing w:val="8"/>
          <w:kern w:val="0"/>
          <w:szCs w:val="21"/>
        </w:rPr>
        <w:t>《会计》《财务成本管理》中国注册会计师 CPA考试用书，中国财政经济出版社，</w:t>
      </w:r>
      <w:r>
        <w:rPr>
          <w:rFonts w:hint="eastAsia" w:ascii="Microsoft YaHei UI" w:hAnsi="Microsoft YaHei UI" w:eastAsia="Microsoft YaHei UI" w:cs="宋体"/>
          <w:spacing w:val="8"/>
          <w:kern w:val="0"/>
          <w:szCs w:val="21"/>
        </w:rPr>
        <w:t>每年</w:t>
      </w:r>
      <w:r>
        <w:rPr>
          <w:rFonts w:ascii="Microsoft YaHei UI" w:hAnsi="Microsoft YaHei UI" w:eastAsia="Microsoft YaHei UI" w:cs="宋体"/>
          <w:spacing w:val="8"/>
          <w:kern w:val="0"/>
          <w:szCs w:val="21"/>
        </w:rPr>
        <w:t>最新版。</w:t>
      </w:r>
      <w:bookmarkEnd w:id="1"/>
    </w:p>
    <w:sectPr>
      <w:pgSz w:w="11906" w:h="16838"/>
      <w:pgMar w:top="1440" w:right="1644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431688"/>
    <w:rsid w:val="0001537B"/>
    <w:rsid w:val="0002063C"/>
    <w:rsid w:val="00025553"/>
    <w:rsid w:val="00030B3D"/>
    <w:rsid w:val="000A4601"/>
    <w:rsid w:val="001171DF"/>
    <w:rsid w:val="002F5FDE"/>
    <w:rsid w:val="00385A9A"/>
    <w:rsid w:val="003B4C06"/>
    <w:rsid w:val="00431688"/>
    <w:rsid w:val="00432C27"/>
    <w:rsid w:val="0047078C"/>
    <w:rsid w:val="004771E6"/>
    <w:rsid w:val="004B4FD5"/>
    <w:rsid w:val="004C0248"/>
    <w:rsid w:val="004D5259"/>
    <w:rsid w:val="00544AB0"/>
    <w:rsid w:val="00575E94"/>
    <w:rsid w:val="006E6A10"/>
    <w:rsid w:val="00712C12"/>
    <w:rsid w:val="007C570F"/>
    <w:rsid w:val="00834052"/>
    <w:rsid w:val="00891B3F"/>
    <w:rsid w:val="008D3E6D"/>
    <w:rsid w:val="00901869"/>
    <w:rsid w:val="009019C4"/>
    <w:rsid w:val="00920D24"/>
    <w:rsid w:val="0094150B"/>
    <w:rsid w:val="0098152A"/>
    <w:rsid w:val="009D1878"/>
    <w:rsid w:val="00AD21EB"/>
    <w:rsid w:val="00B17C05"/>
    <w:rsid w:val="00B82F3B"/>
    <w:rsid w:val="00BC13F4"/>
    <w:rsid w:val="00C34AD6"/>
    <w:rsid w:val="00C64B69"/>
    <w:rsid w:val="00CE5A94"/>
    <w:rsid w:val="00D041C4"/>
    <w:rsid w:val="00DC342B"/>
    <w:rsid w:val="00DD1FDA"/>
    <w:rsid w:val="00E52919"/>
    <w:rsid w:val="00F62E7F"/>
    <w:rsid w:val="00F765F2"/>
    <w:rsid w:val="00F80661"/>
    <w:rsid w:val="00FA45C9"/>
    <w:rsid w:val="00FA5301"/>
    <w:rsid w:val="1AF8344E"/>
    <w:rsid w:val="48D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3792</Words>
  <Characters>3801</Characters>
  <Lines>29</Lines>
  <Paragraphs>8</Paragraphs>
  <TotalTime>393</TotalTime>
  <ScaleCrop>false</ScaleCrop>
  <LinksUpToDate>false</LinksUpToDate>
  <CharactersWithSpaces>3906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2024-08-07T01:33:00Z</dcterms:created>
  <dc:creator>Lenovo</dc:creator>
  <cp:lastModifiedBy>李云鹏</cp:lastModifiedBy>
  <dcterms:modified xsi:type="dcterms:W3CDTF">2024-08-20T01:20:33Z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D0D7E119DF2940859AC4DCFBA97CB056_12</vt:lpwstr>
  </property>
</Properties>
</file>