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初试科目考试大纲</w:t>
      </w:r>
    </w:p>
    <w:p>
      <w:pPr>
        <w:snapToGrid w:val="0"/>
        <w:spacing w:line="40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科目代码：</w:t>
      </w:r>
      <w:r>
        <w:rPr>
          <w:rFonts w:ascii="仿宋_GB2312" w:hAnsi="仿宋_GB2312" w:eastAsia="仿宋_GB2312" w:cs="仿宋_GB2312"/>
          <w:b/>
          <w:sz w:val="30"/>
          <w:szCs w:val="30"/>
        </w:rPr>
        <w:t>817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/>
          <w:sz w:val="30"/>
          <w:szCs w:val="30"/>
        </w:rPr>
        <w:t xml:space="preserve"> </w:t>
      </w:r>
    </w:p>
    <w:p>
      <w:pPr>
        <w:snapToGrid w:val="0"/>
        <w:spacing w:line="40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科目名称：</w:t>
      </w:r>
      <w:r>
        <w:rPr>
          <w:rFonts w:ascii="仿宋_GB2312" w:hAnsi="仿宋_GB2312" w:eastAsia="仿宋_GB2312" w:cs="仿宋_GB2312"/>
          <w:b/>
          <w:sz w:val="30"/>
          <w:szCs w:val="30"/>
        </w:rPr>
        <w:t>微生物学</w:t>
      </w:r>
    </w:p>
    <w:p>
      <w:pPr>
        <w:snapToGrid w:val="0"/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1.绪论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微生物类群及特点；微生物学的发展历史，主要历史人物贡献及其意义；近期于微生物相关的重大事件或研究发现的基本内容、和原理。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 原核生物的形态、构造和功能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细菌菌落和细胞形态特征；细菌细胞主要结构（细胞壁、细胞膜、内含体、芽孢等）组成和功能；革兰氏染色的细胞学基础；</w:t>
      </w:r>
      <w:r>
        <w:rPr>
          <w:rFonts w:ascii="仿宋_GB2312" w:hAnsi="仿宋_GB2312" w:eastAsia="仿宋_GB2312" w:cs="仿宋_GB2312"/>
          <w:sz w:val="30"/>
          <w:szCs w:val="30"/>
        </w:rPr>
        <w:t xml:space="preserve"> 与细菌主要结构和功能的异同；代表性原核生物（蓝细菌、放线菌等）主要结构和功能特点。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 真核微生物的形态、构造和功能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真核微生物主要类群的菌落和细胞形态特征；酵母和丝状真菌的生活史。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 病毒和亚病毒因子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病毒的主要类群、化学组成和结构特征；病毒的繁殖过程和特点；溶源噬菌体和溶源转换；病毒繁殖的一步生长曲线测定法原理和过程；病毒在农业生产中的应用和实践。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5. 微生物的营养和培养基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微生物的营养类型；以葡萄糖为例，微生物特有的物质进入细胞的运输方式—基团转位的过程；通过不同培养基的设计，从环境中分离筛选目标微生物。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6. 微生物的新陈代谢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微生物主要能量代谢过程和特点；碳自养微生物类型，主要固碳途径及关键酶；生物固氮菌种类、固氮过程和好氧菌防止氧对固氮酶毒害的机制；肽聚糖合成与抗生素的作用部位。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7. 微生物的生长及其控制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微生物生长测定及控制的主要方法、适用对象或条件；典型单细胞微生物生长规律，各生长时期特点及意义；二次生长的生理和分子机制。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8. 微生物的遗传变异和育种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遗传变异的物质基础，基因突变和诱变育种，基因重组和杂交育种，菌种的衰退、复壮和保藏。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9. 微生物的生态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主要环境因子对微生物分布和生长的影响；微生物在关键生源要素物质生物地球化学循环中的作用过程；水体富营养化和废水处理的主要过程和机理。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10. 微生物的分类和鉴定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三域学说内容；细菌的多相分类内容。</w:t>
      </w:r>
    </w:p>
    <w:p>
      <w:pPr>
        <w:snapToGrid w:val="0"/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闭卷。题型包括</w:t>
      </w:r>
      <w:r>
        <w:rPr>
          <w:rFonts w:ascii="仿宋_GB2312" w:hAnsi="仿宋_GB2312" w:eastAsia="仿宋_GB2312" w:cs="仿宋_GB2312"/>
          <w:sz w:val="30"/>
          <w:szCs w:val="30"/>
        </w:rPr>
        <w:t xml:space="preserve"> 填空、名词解释、单项选择、解答和综合题。</w:t>
      </w:r>
    </w:p>
    <w:p>
      <w:pPr>
        <w:snapToGrid w:val="0"/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1.《微生物学教程》（第4版），周德庆，北京：高等教育出版社，2020．</w:t>
      </w:r>
    </w:p>
    <w:p>
      <w:pPr>
        <w:snapToGrid w:val="0"/>
        <w:spacing w:line="4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2．沈萍，陈向东．《微生物学》（第8版）．北京：高等教育出版社，2016．</w:t>
      </w:r>
    </w:p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2021-07-14T01:51:59Z</dcterms:created>
  <dc:creator>admin</dc:creator>
  <cp:lastModifiedBy>依拉那</cp:lastModifiedBy>
  <dcterms:modified xsi:type="dcterms:W3CDTF">2021-07-14T01:53:13Z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2A38EF7E93624E829C2248C342D5A5A1</vt:lpwstr>
  </property>
</Properties>
</file>