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C77E6">
      <w:pPr>
        <w:jc w:val="center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复试科目考试大纲</w:t>
      </w:r>
    </w:p>
    <w:p w14:paraId="03A0CA29">
      <w:pPr>
        <w:spacing w:line="600" w:lineRule="exac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学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科、专业名称：</w:t>
      </w:r>
      <w:r>
        <w:rPr>
          <w:rFonts w:hint="eastAsia" w:ascii="宋体" w:hAnsi="宋体" w:cs="宋体"/>
          <w:b/>
          <w:bCs w:val="0"/>
          <w:sz w:val="28"/>
          <w:szCs w:val="28"/>
        </w:rPr>
        <w:t>090201果树学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复试科目名称：果树学</w:t>
      </w:r>
    </w:p>
    <w:p w14:paraId="4A783413">
      <w:pPr>
        <w:jc w:val="lef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考试大纲：</w:t>
      </w:r>
    </w:p>
    <w:p w14:paraId="0072AB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567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1.我国果树资源及其分类、分布</w:t>
      </w:r>
    </w:p>
    <w:p w14:paraId="4A18C5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567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2.果树的生命周期和年生长周期</w:t>
      </w:r>
    </w:p>
    <w:p w14:paraId="0369FE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567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3.生态环境对果树生长发育的影响</w:t>
      </w:r>
    </w:p>
    <w:p w14:paraId="336346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567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4</w:t>
      </w:r>
      <w:r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果树育苗</w:t>
      </w:r>
    </w:p>
    <w:p w14:paraId="02918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567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.果园建园</w:t>
      </w:r>
    </w:p>
    <w:p w14:paraId="25439B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567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.果园土肥水管理</w:t>
      </w:r>
    </w:p>
    <w:p w14:paraId="2D9F27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567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.果树整形修剪</w:t>
      </w:r>
    </w:p>
    <w:p w14:paraId="4DC79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567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.果树花果管理</w:t>
      </w:r>
    </w:p>
    <w:p w14:paraId="7C066A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567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.果园的灾害及预防</w:t>
      </w:r>
    </w:p>
    <w:p w14:paraId="1D401E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567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6.果树种质资源</w:t>
      </w:r>
    </w:p>
    <w:p w14:paraId="792C12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567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7.营养系杂交育种原理与方法</w:t>
      </w:r>
    </w:p>
    <w:p w14:paraId="2ADE99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567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10.芽变选种原理与方法</w:t>
      </w:r>
    </w:p>
    <w:p w14:paraId="38AA7B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567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11.实生选种原理与方法</w:t>
      </w:r>
    </w:p>
    <w:p w14:paraId="193A3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567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12.果树新品种审定与繁育推广</w:t>
      </w:r>
    </w:p>
    <w:p w14:paraId="686239AB">
      <w:pPr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参考书目：</w:t>
      </w:r>
    </w:p>
    <w:p w14:paraId="00C4F592">
      <w:pPr>
        <w:widowControl/>
        <w:spacing w:line="360" w:lineRule="auto"/>
        <w:ind w:left="567"/>
        <w:jc w:val="both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张玉星主编《果树栽培学总论》（第四版），北京：中国农业出版社，201</w:t>
      </w:r>
      <w:r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  <w:t>1</w:t>
      </w:r>
    </w:p>
    <w:p w14:paraId="1E9D085C">
      <w:pPr>
        <w:widowControl/>
        <w:spacing w:line="360" w:lineRule="auto"/>
        <w:ind w:left="559" w:leftChars="266" w:firstLine="0" w:firstLineChars="0"/>
        <w:jc w:val="left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景士西主编 《园艺植物育种学总论》（第二版），北京：中国农业出版社，20</w:t>
      </w:r>
      <w:r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  <w:t>07</w:t>
      </w:r>
    </w:p>
    <w:p w14:paraId="40C727D6">
      <w:pPr>
        <w:spacing w:line="600" w:lineRule="exact"/>
        <w:rPr>
          <w:rFonts w:ascii="仿宋_GB2312" w:hAnsi="仿宋_GB2312" w:eastAsia="仿宋_GB2312" w:cs="仿宋_GB2312"/>
          <w:b/>
          <w:bCs w:val="0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  <w:t>学科、专业名称：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</w:rPr>
        <w:t xml:space="preserve">090202蔬菜学  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  <w:t>复试科目名称：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0"/>
          <w:szCs w:val="30"/>
        </w:rPr>
        <w:t>蔬菜学</w:t>
      </w:r>
    </w:p>
    <w:p w14:paraId="33501396">
      <w:pPr>
        <w:pStyle w:val="5"/>
        <w:widowControl/>
        <w:spacing w:line="360" w:lineRule="auto"/>
        <w:ind w:firstLine="0" w:firstLineChars="0"/>
        <w:jc w:val="left"/>
        <w:rPr>
          <w:rFonts w:ascii="仿宋_GB2312" w:hAnsi="仿宋_GB2312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考试大纲：</w:t>
      </w:r>
    </w:p>
    <w:p w14:paraId="220C28FA"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蔬菜产业现状与发展趋势</w:t>
      </w:r>
    </w:p>
    <w:p w14:paraId="478CBD3C"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蔬菜生长发育与环境因子</w:t>
      </w:r>
    </w:p>
    <w:p w14:paraId="7D448C65"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蔬菜栽培设施</w:t>
      </w:r>
    </w:p>
    <w:p w14:paraId="49CB0A95"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蔬菜育苗</w:t>
      </w:r>
    </w:p>
    <w:p w14:paraId="0D61D4C4"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蔬菜栽培管理</w:t>
      </w:r>
    </w:p>
    <w:p w14:paraId="7D2C267C"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蔬菜栽培生理</w:t>
      </w:r>
    </w:p>
    <w:p w14:paraId="21CD6799"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蔬菜引种原理与技术</w:t>
      </w:r>
    </w:p>
    <w:p w14:paraId="600C187F"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蔬菜育种原理与方法</w:t>
      </w:r>
    </w:p>
    <w:p w14:paraId="4B1497A7"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蔬菜新品种审定与推广繁育</w:t>
      </w:r>
    </w:p>
    <w:p w14:paraId="700AC180">
      <w:pPr>
        <w:spacing w:line="360" w:lineRule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参考书目：</w:t>
      </w:r>
    </w:p>
    <w:p w14:paraId="67AE318D">
      <w:pPr>
        <w:widowControl/>
        <w:spacing w:line="360" w:lineRule="auto"/>
        <w:ind w:left="567" w:leftChars="27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喻景权，王秀峰主编《蔬菜栽培学》各论（北方本）（第三版），北京：中国农业出版社，2014</w:t>
      </w:r>
    </w:p>
    <w:p w14:paraId="20AFD759">
      <w:pPr>
        <w:widowControl/>
        <w:spacing w:line="360" w:lineRule="auto"/>
        <w:ind w:left="567" w:leftChars="27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王秀峰主编《蔬菜栽培学》各论（北方本）（第四版），</w:t>
      </w:r>
    </w:p>
    <w:p w14:paraId="14E5451B">
      <w:pPr>
        <w:widowControl/>
        <w:spacing w:line="360" w:lineRule="auto"/>
        <w:ind w:left="567" w:leftChars="27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北京：中国农业出版社，2014</w:t>
      </w:r>
    </w:p>
    <w:p w14:paraId="3A98D322">
      <w:pPr>
        <w:widowControl/>
        <w:spacing w:line="360" w:lineRule="auto"/>
        <w:ind w:left="567" w:leftChars="27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景士西主编 《园艺植物育种学》（第二版），北京：中国农业出版社，2012</w:t>
      </w:r>
    </w:p>
    <w:p w14:paraId="13E88D48">
      <w:pPr>
        <w:widowControl/>
        <w:spacing w:line="360" w:lineRule="auto"/>
        <w:ind w:left="567" w:leftChars="27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蒋先明主编《蔬菜栽培生理学》，北京：中国农业出版社，1996</w:t>
      </w:r>
    </w:p>
    <w:p w14:paraId="5B80B309">
      <w:pPr>
        <w:widowControl/>
        <w:spacing w:line="360" w:lineRule="auto"/>
        <w:ind w:left="567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王萍，樊丽主编《园艺植物生理学》，内蒙古农业大学自编教材，2019</w:t>
      </w:r>
    </w:p>
    <w:p w14:paraId="17539870">
      <w:pPr>
        <w:widowControl/>
        <w:spacing w:line="360" w:lineRule="auto"/>
        <w:ind w:left="567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</w:p>
    <w:p w14:paraId="2F96531C">
      <w:pPr>
        <w:spacing w:line="600" w:lineRule="exact"/>
        <w:rPr>
          <w:rFonts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学科、专业名称：</w:t>
      </w:r>
      <w:r>
        <w:rPr>
          <w:rFonts w:hint="eastAsia" w:ascii="宋体" w:hAnsi="宋体" w:cs="宋体"/>
          <w:b/>
          <w:bCs w:val="0"/>
          <w:sz w:val="28"/>
          <w:szCs w:val="28"/>
        </w:rPr>
        <w:t xml:space="preserve">0902Z1观赏园艺  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复试科目名称：花卉学</w:t>
      </w:r>
    </w:p>
    <w:p w14:paraId="34FF1531">
      <w:pPr>
        <w:jc w:val="lef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考试大纲：</w:t>
      </w:r>
    </w:p>
    <w:p w14:paraId="38DCBF3C">
      <w:pPr>
        <w:pStyle w:val="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花卉资源特点及现状</w:t>
      </w:r>
    </w:p>
    <w:p w14:paraId="07A130C0">
      <w:pPr>
        <w:pStyle w:val="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花卉产业现状与发展趋势</w:t>
      </w:r>
    </w:p>
    <w:p w14:paraId="4DD7E1F5">
      <w:pPr>
        <w:pStyle w:val="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花卉育种原理与技术</w:t>
      </w:r>
    </w:p>
    <w:p w14:paraId="6E045449">
      <w:pPr>
        <w:pStyle w:val="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花卉生长发育与环境因子</w:t>
      </w:r>
    </w:p>
    <w:p w14:paraId="37225E05">
      <w:pPr>
        <w:pStyle w:val="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花卉栽培设施</w:t>
      </w:r>
    </w:p>
    <w:p w14:paraId="3C7DB611">
      <w:pPr>
        <w:pStyle w:val="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花卉繁殖</w:t>
      </w:r>
    </w:p>
    <w:p w14:paraId="3DBE7242">
      <w:pPr>
        <w:pStyle w:val="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花卉栽培管理</w:t>
      </w:r>
    </w:p>
    <w:p w14:paraId="4E321DC6">
      <w:pPr>
        <w:pStyle w:val="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花卉应用</w:t>
      </w:r>
    </w:p>
    <w:p w14:paraId="73AD1FED">
      <w:pPr>
        <w:pStyle w:val="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一、二年生花卉</w:t>
      </w:r>
    </w:p>
    <w:p w14:paraId="53AEAF9F">
      <w:pPr>
        <w:pStyle w:val="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宿根花卉</w:t>
      </w:r>
    </w:p>
    <w:p w14:paraId="6F944F95">
      <w:pPr>
        <w:pStyle w:val="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球根花卉</w:t>
      </w:r>
    </w:p>
    <w:p w14:paraId="27BE0BC1">
      <w:pPr>
        <w:spacing w:line="360" w:lineRule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参考书目：</w:t>
      </w:r>
    </w:p>
    <w:p w14:paraId="40D5B212">
      <w:pPr>
        <w:widowControl/>
        <w:spacing w:line="360" w:lineRule="auto"/>
        <w:ind w:left="567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包满珠主编 《花卉学》 北京：中国农业出版社，2011（第三版）</w:t>
      </w:r>
    </w:p>
    <w:p w14:paraId="611D36E7">
      <w:pPr>
        <w:widowControl/>
        <w:spacing w:line="360" w:lineRule="auto"/>
        <w:ind w:left="567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刘燕主编《园林花卉学》·北京：中国林业出版社，2016（第三版）</w:t>
      </w:r>
    </w:p>
    <w:p w14:paraId="38D01801">
      <w:pPr>
        <w:widowControl/>
        <w:spacing w:line="360" w:lineRule="auto"/>
        <w:ind w:left="567"/>
        <w:jc w:val="left"/>
        <w:rPr>
          <w:rFonts w:ascii="仿宋_GB2312" w:hAnsi="仿宋_GB2312" w:eastAsia="仿宋_GB2312" w:cs="仿宋_GB2312"/>
          <w:bCs/>
          <w:kern w:val="0"/>
          <w:sz w:val="30"/>
          <w:szCs w:val="30"/>
        </w:rPr>
      </w:pPr>
    </w:p>
    <w:p w14:paraId="6792A5A4">
      <w:pPr>
        <w:widowControl/>
        <w:spacing w:line="360" w:lineRule="auto"/>
        <w:ind w:left="567"/>
        <w:jc w:val="left"/>
        <w:rPr>
          <w:rFonts w:ascii="仿宋_GB2312" w:hAnsi="仿宋_GB2312" w:eastAsia="仿宋_GB2312" w:cs="仿宋_GB2312"/>
          <w:bCs/>
          <w:kern w:val="0"/>
          <w:sz w:val="30"/>
          <w:szCs w:val="30"/>
        </w:rPr>
      </w:pPr>
    </w:p>
    <w:p w14:paraId="66AC0CF8">
      <w:pPr>
        <w:widowControl/>
        <w:spacing w:line="360" w:lineRule="auto"/>
        <w:ind w:left="567"/>
        <w:jc w:val="left"/>
        <w:rPr>
          <w:rFonts w:ascii="仿宋_GB2312" w:hAnsi="仿宋_GB2312" w:eastAsia="仿宋_GB2312" w:cs="仿宋_GB2312"/>
          <w:bCs/>
          <w:kern w:val="0"/>
          <w:sz w:val="30"/>
          <w:szCs w:val="30"/>
        </w:rPr>
      </w:pPr>
    </w:p>
    <w:p w14:paraId="11777AC9">
      <w:pPr>
        <w:widowControl/>
        <w:spacing w:line="360" w:lineRule="auto"/>
        <w:ind w:left="567"/>
        <w:jc w:val="left"/>
        <w:rPr>
          <w:rFonts w:ascii="仿宋_GB2312" w:hAnsi="仿宋_GB2312" w:eastAsia="仿宋_GB2312" w:cs="仿宋_GB2312"/>
          <w:bCs/>
          <w:kern w:val="0"/>
          <w:sz w:val="30"/>
          <w:szCs w:val="30"/>
        </w:rPr>
      </w:pPr>
    </w:p>
    <w:p w14:paraId="74233ED9">
      <w:pPr>
        <w:widowControl/>
        <w:spacing w:line="360" w:lineRule="auto"/>
        <w:ind w:left="567"/>
        <w:jc w:val="left"/>
        <w:rPr>
          <w:rFonts w:ascii="仿宋_GB2312" w:hAnsi="仿宋_GB2312" w:eastAsia="仿宋_GB2312" w:cs="仿宋_GB2312"/>
          <w:bCs/>
          <w:kern w:val="0"/>
          <w:sz w:val="30"/>
          <w:szCs w:val="30"/>
        </w:rPr>
      </w:pPr>
    </w:p>
    <w:p w14:paraId="2A2280F0"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学科、专业名称：0902Z2设施园艺学 </w:t>
      </w:r>
    </w:p>
    <w:p w14:paraId="034444EB">
      <w:pPr>
        <w:spacing w:line="360" w:lineRule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复试科目名称：设施园艺学</w:t>
      </w:r>
    </w:p>
    <w:p w14:paraId="6D149E78">
      <w:pPr>
        <w:spacing w:line="360" w:lineRule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考试大纲：</w:t>
      </w:r>
    </w:p>
    <w:p w14:paraId="4B105D27">
      <w:pPr>
        <w:pStyle w:val="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设施园艺产业现状与发展趋势</w:t>
      </w:r>
    </w:p>
    <w:p w14:paraId="4DD27FCD">
      <w:pPr>
        <w:pStyle w:val="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园艺设施的类型、结构和性能</w:t>
      </w:r>
    </w:p>
    <w:p w14:paraId="1F7DC520">
      <w:pPr>
        <w:pStyle w:val="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园艺设施环境调控技术</w:t>
      </w:r>
    </w:p>
    <w:p w14:paraId="37001473">
      <w:pPr>
        <w:pStyle w:val="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园艺作物设施栽培</w:t>
      </w:r>
    </w:p>
    <w:p w14:paraId="191D3F9E">
      <w:pPr>
        <w:pStyle w:val="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无土栽培</w:t>
      </w:r>
    </w:p>
    <w:p w14:paraId="121E60F3">
      <w:pPr>
        <w:pStyle w:val="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设施园艺设施的配套装备</w:t>
      </w:r>
    </w:p>
    <w:p w14:paraId="327A07DF">
      <w:pPr>
        <w:pStyle w:val="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设施育苗技术</w:t>
      </w:r>
    </w:p>
    <w:p w14:paraId="0E8CB554">
      <w:pPr>
        <w:pStyle w:val="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设施园艺作物生理代谢与生长发育</w:t>
      </w:r>
    </w:p>
    <w:p w14:paraId="101F43BF"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参考书目：</w:t>
      </w:r>
    </w:p>
    <w:p w14:paraId="1A76B315">
      <w:pPr>
        <w:widowControl/>
        <w:spacing w:line="360" w:lineRule="auto"/>
        <w:ind w:left="567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郭世荣、孙锦主编 《设施园艺学》北京：中国农业出版社，2020（第三版）</w:t>
      </w:r>
    </w:p>
    <w:p w14:paraId="56C0E50D">
      <w:pPr>
        <w:widowControl/>
        <w:spacing w:line="360" w:lineRule="auto"/>
        <w:ind w:left="567"/>
        <w:jc w:val="left"/>
        <w:rPr>
          <w:rFonts w:ascii="仿宋_GB2312" w:hAnsi="仿宋_GB2312" w:eastAsia="仿宋_GB2312" w:cs="仿宋_GB2312"/>
          <w:bCs/>
          <w:kern w:val="0"/>
          <w:sz w:val="30"/>
          <w:szCs w:val="30"/>
        </w:rPr>
      </w:pPr>
    </w:p>
    <w:p w14:paraId="6136437A">
      <w:pPr>
        <w:widowControl/>
        <w:spacing w:line="360" w:lineRule="auto"/>
        <w:ind w:left="567"/>
        <w:jc w:val="left"/>
        <w:rPr>
          <w:rFonts w:ascii="仿宋_GB2312" w:hAnsi="仿宋_GB2312" w:eastAsia="仿宋_GB2312" w:cs="仿宋_GB2312"/>
          <w:bCs/>
          <w:kern w:val="0"/>
          <w:sz w:val="30"/>
          <w:szCs w:val="30"/>
        </w:rPr>
      </w:pPr>
    </w:p>
    <w:p w14:paraId="48253D69">
      <w:pPr>
        <w:widowControl/>
        <w:spacing w:line="360" w:lineRule="auto"/>
        <w:ind w:left="567"/>
        <w:jc w:val="left"/>
        <w:rPr>
          <w:rFonts w:ascii="仿宋_GB2312" w:hAnsi="仿宋_GB2312" w:eastAsia="仿宋_GB2312" w:cs="仿宋_GB2312"/>
          <w:bCs/>
          <w:kern w:val="0"/>
          <w:sz w:val="30"/>
          <w:szCs w:val="30"/>
        </w:rPr>
      </w:pPr>
    </w:p>
    <w:p w14:paraId="6C75FA62">
      <w:pPr>
        <w:widowControl/>
        <w:spacing w:line="360" w:lineRule="auto"/>
        <w:ind w:left="567"/>
        <w:jc w:val="left"/>
        <w:rPr>
          <w:rFonts w:ascii="仿宋_GB2312" w:hAnsi="仿宋_GB2312" w:eastAsia="仿宋_GB2312" w:cs="仿宋_GB2312"/>
          <w:bCs/>
          <w:kern w:val="0"/>
          <w:sz w:val="30"/>
          <w:szCs w:val="30"/>
        </w:rPr>
      </w:pPr>
    </w:p>
    <w:p w14:paraId="6F983F28">
      <w:pPr>
        <w:widowControl/>
        <w:spacing w:line="360" w:lineRule="auto"/>
        <w:ind w:left="567"/>
        <w:jc w:val="left"/>
        <w:rPr>
          <w:rFonts w:ascii="仿宋_GB2312" w:hAnsi="仿宋_GB2312" w:eastAsia="仿宋_GB2312" w:cs="仿宋_GB2312"/>
          <w:bCs/>
          <w:kern w:val="0"/>
          <w:sz w:val="30"/>
          <w:szCs w:val="30"/>
        </w:rPr>
      </w:pPr>
    </w:p>
    <w:p w14:paraId="705C044B">
      <w:pPr>
        <w:widowControl/>
        <w:spacing w:line="360" w:lineRule="auto"/>
        <w:ind w:left="567"/>
        <w:jc w:val="left"/>
        <w:rPr>
          <w:rFonts w:ascii="仿宋_GB2312" w:hAnsi="仿宋_GB2312" w:eastAsia="仿宋_GB2312" w:cs="仿宋_GB2312"/>
          <w:bCs/>
          <w:kern w:val="0"/>
          <w:sz w:val="30"/>
          <w:szCs w:val="30"/>
        </w:rPr>
      </w:pPr>
    </w:p>
    <w:p w14:paraId="2821A356">
      <w:pPr>
        <w:widowControl/>
        <w:spacing w:line="360" w:lineRule="auto"/>
        <w:ind w:left="567"/>
        <w:jc w:val="left"/>
        <w:rPr>
          <w:rFonts w:ascii="仿宋_GB2312" w:hAnsi="仿宋_GB2312" w:eastAsia="仿宋_GB2312" w:cs="仿宋_GB2312"/>
          <w:bCs/>
          <w:kern w:val="0"/>
          <w:sz w:val="30"/>
          <w:szCs w:val="30"/>
        </w:rPr>
      </w:pPr>
    </w:p>
    <w:p w14:paraId="3DC90876">
      <w:pPr>
        <w:widowControl/>
        <w:spacing w:line="360" w:lineRule="auto"/>
        <w:ind w:left="567"/>
        <w:jc w:val="left"/>
        <w:rPr>
          <w:rFonts w:ascii="仿宋_GB2312" w:hAnsi="仿宋_GB2312" w:eastAsia="仿宋_GB2312" w:cs="仿宋_GB2312"/>
          <w:bCs/>
          <w:kern w:val="0"/>
          <w:sz w:val="30"/>
          <w:szCs w:val="30"/>
        </w:rPr>
      </w:pPr>
    </w:p>
    <w:p w14:paraId="21BDFF7F">
      <w:pPr>
        <w:spacing w:line="600" w:lineRule="exact"/>
        <w:rPr>
          <w:rFonts w:ascii="宋体" w:hAnsi="宋体" w:cs="宋体"/>
          <w:b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  <w:t>学科、专业名称：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</w:rPr>
        <w:t xml:space="preserve">090401植物病理学 </w:t>
      </w:r>
    </w:p>
    <w:p w14:paraId="65383792">
      <w:pPr>
        <w:spacing w:line="600" w:lineRule="exact"/>
        <w:rPr>
          <w:rFonts w:ascii="宋体" w:hAnsi="宋体" w:cs="宋体"/>
          <w:b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  <w:t>复试科目名称：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highlight w:val="none"/>
        </w:rPr>
        <w:t>普通植物病理学</w:t>
      </w:r>
      <w:bookmarkStart w:id="0" w:name="_GoBack"/>
      <w:bookmarkEnd w:id="0"/>
    </w:p>
    <w:p w14:paraId="592212BA">
      <w:pPr>
        <w:jc w:val="left"/>
        <w:rPr>
          <w:rFonts w:ascii="仿宋_GB2312" w:hAnsi="仿宋_GB2312" w:eastAsia="仿宋_GB2312" w:cs="仿宋_GB2312"/>
          <w:b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  <w:t>考试大纲：</w:t>
      </w:r>
    </w:p>
    <w:p w14:paraId="6DD982A1">
      <w:pPr>
        <w:pStyle w:val="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绪论</w:t>
      </w:r>
    </w:p>
    <w:p w14:paraId="25F40A46">
      <w:pPr>
        <w:pStyle w:val="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植物病原菌物</w:t>
      </w:r>
    </w:p>
    <w:p w14:paraId="304C13EA">
      <w:pPr>
        <w:pStyle w:val="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植物病原原核生物</w:t>
      </w:r>
    </w:p>
    <w:p w14:paraId="1C155785">
      <w:pPr>
        <w:pStyle w:val="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植物病毒</w:t>
      </w:r>
    </w:p>
    <w:p w14:paraId="775FA96B">
      <w:pPr>
        <w:pStyle w:val="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植物寄生线虫与原生动物</w:t>
      </w:r>
    </w:p>
    <w:p w14:paraId="69AE785F">
      <w:pPr>
        <w:pStyle w:val="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寄生性植物</w:t>
      </w:r>
    </w:p>
    <w:p w14:paraId="4DDB283A">
      <w:pPr>
        <w:pStyle w:val="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植物非侵染性病害</w:t>
      </w:r>
    </w:p>
    <w:p w14:paraId="790115F1">
      <w:pPr>
        <w:pStyle w:val="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病害的侵染与循环</w:t>
      </w:r>
    </w:p>
    <w:p w14:paraId="2683BC71">
      <w:pPr>
        <w:pStyle w:val="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病原生物对植物的致病作用</w:t>
      </w:r>
    </w:p>
    <w:p w14:paraId="68CD8606">
      <w:pPr>
        <w:pStyle w:val="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植物的抗病作用</w:t>
      </w:r>
    </w:p>
    <w:p w14:paraId="16FC3AC1">
      <w:pPr>
        <w:pStyle w:val="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植物病害的流行和预测</w:t>
      </w:r>
    </w:p>
    <w:p w14:paraId="01BC0B33">
      <w:pPr>
        <w:pStyle w:val="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植物病害诊断与防治</w:t>
      </w:r>
    </w:p>
    <w:p w14:paraId="1764EA60"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参考书目：</w:t>
      </w:r>
    </w:p>
    <w:p w14:paraId="5FDD16FB">
      <w:pPr>
        <w:widowControl/>
        <w:spacing w:line="360" w:lineRule="auto"/>
        <w:ind w:left="567"/>
        <w:jc w:val="left"/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许志刚主编《普通植物病理学》北京：高等教育出版社，2021（第五版）</w:t>
      </w:r>
    </w:p>
    <w:p w14:paraId="4B271B2B">
      <w:pPr>
        <w:spacing w:line="360" w:lineRule="auto"/>
        <w:rPr>
          <w:rFonts w:ascii="Verdana" w:hAnsi="Verdana" w:cs="Verdana"/>
          <w:color w:val="323232"/>
          <w:sz w:val="27"/>
          <w:szCs w:val="27"/>
          <w:shd w:val="clear" w:color="auto" w:fill="FFFFFF"/>
        </w:rPr>
      </w:pPr>
    </w:p>
    <w:p w14:paraId="0E7FE0DB">
      <w:pPr>
        <w:spacing w:line="60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</w:p>
    <w:p w14:paraId="733632C6">
      <w:pPr>
        <w:spacing w:line="60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</w:p>
    <w:p w14:paraId="4B5115ED">
      <w:pPr>
        <w:spacing w:line="60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</w:p>
    <w:p w14:paraId="6EA8FCE1">
      <w:pPr>
        <w:spacing w:line="600" w:lineRule="exact"/>
        <w:rPr>
          <w:rFonts w:ascii="宋体" w:hAnsi="宋体" w:cs="宋体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学科、专业名称：</w:t>
      </w:r>
      <w:r>
        <w:rPr>
          <w:rFonts w:hint="eastAsia" w:ascii="宋体" w:hAnsi="宋体" w:cs="宋体"/>
          <w:b/>
          <w:bCs w:val="0"/>
          <w:sz w:val="28"/>
          <w:szCs w:val="28"/>
        </w:rPr>
        <w:t xml:space="preserve">090402农业昆虫与害虫防治 </w:t>
      </w:r>
    </w:p>
    <w:p w14:paraId="63FA334E">
      <w:pPr>
        <w:jc w:val="left"/>
        <w:rPr>
          <w:rFonts w:ascii="仿宋_GB2312" w:hAnsi="仿宋_GB2312" w:eastAsia="仿宋_GB2312" w:cs="仿宋_GB2312"/>
          <w:b/>
          <w:bCs w:val="0"/>
          <w:sz w:val="30"/>
          <w:szCs w:val="30"/>
          <w:highlight w:val="yellow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复试科目名称：普通昆虫学</w:t>
      </w:r>
    </w:p>
    <w:p w14:paraId="108F2303">
      <w:pPr>
        <w:jc w:val="left"/>
        <w:rPr>
          <w:rFonts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考试大纲：</w:t>
      </w:r>
    </w:p>
    <w:p w14:paraId="5E3EDE3D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绪论</w:t>
      </w:r>
    </w:p>
    <w:p w14:paraId="2CE0B42F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昆虫体躯的一般构造</w:t>
      </w:r>
    </w:p>
    <w:p w14:paraId="436D49BD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昆虫的头部</w:t>
      </w:r>
    </w:p>
    <w:p w14:paraId="52B2A942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昆虫的胸部</w:t>
      </w:r>
    </w:p>
    <w:p w14:paraId="2B141B66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昆虫的腹部</w:t>
      </w:r>
    </w:p>
    <w:p w14:paraId="3D6BEA67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昆虫的内部结构</w:t>
      </w:r>
    </w:p>
    <w:p w14:paraId="700C3CCB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昆虫的体壁及其生理</w:t>
      </w:r>
    </w:p>
    <w:p w14:paraId="20852D9C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昆虫的消化系统</w:t>
      </w:r>
    </w:p>
    <w:p w14:paraId="303388DF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昆虫的排泄系统</w:t>
      </w:r>
    </w:p>
    <w:p w14:paraId="4416ACA0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昆虫的循环系统</w:t>
      </w:r>
    </w:p>
    <w:p w14:paraId="34E95942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昆虫的呼吸系统</w:t>
      </w:r>
    </w:p>
    <w:p w14:paraId="7711F85D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昆虫的神经系统</w:t>
      </w:r>
    </w:p>
    <w:p w14:paraId="0771FB41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昆虫的肌肉系统</w:t>
      </w:r>
    </w:p>
    <w:p w14:paraId="3AC09CA5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昆虫的生殖系统</w:t>
      </w:r>
    </w:p>
    <w:p w14:paraId="0A4629FB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昆虫的激素</w:t>
      </w:r>
    </w:p>
    <w:p w14:paraId="40C532F6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昆虫的生殖方式</w:t>
      </w:r>
    </w:p>
    <w:p w14:paraId="6840EAB8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昆虫的个体发育过程</w:t>
      </w:r>
    </w:p>
    <w:p w14:paraId="1D798F81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昆虫的世代和生活史</w:t>
      </w:r>
    </w:p>
    <w:p w14:paraId="5B83089A"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49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昆虫的习性和行为</w:t>
      </w:r>
    </w:p>
    <w:p w14:paraId="5D7AC94D"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参考书目：</w:t>
      </w:r>
    </w:p>
    <w:p w14:paraId="4CEDD363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雷朝亮、荣秀兰主编《普通昆虫学》（第二版）：中国农业出版社</w:t>
      </w:r>
    </w:p>
    <w:p w14:paraId="5AD355D4">
      <w:pPr>
        <w:spacing w:line="360" w:lineRule="auto"/>
        <w:rPr>
          <w:rFonts w:ascii="仿宋_GB2312" w:hAnsi="仿宋_GB2312" w:eastAsia="仿宋_GB2312" w:cs="仿宋_GB2312"/>
          <w:bCs/>
          <w:kern w:val="0"/>
          <w:sz w:val="30"/>
          <w:szCs w:val="30"/>
        </w:rPr>
      </w:pPr>
    </w:p>
    <w:p w14:paraId="2E054793">
      <w:pPr>
        <w:spacing w:line="60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 xml:space="preserve">学科、专业名称：090403农药学 </w:t>
      </w:r>
    </w:p>
    <w:p w14:paraId="5CF86A09">
      <w:pPr>
        <w:spacing w:line="60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复试科目名称：植物化学保护</w:t>
      </w:r>
    </w:p>
    <w:p w14:paraId="4108CAFD">
      <w:pPr>
        <w:spacing w:line="60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考试大纲：</w:t>
      </w:r>
    </w:p>
    <w:p w14:paraId="09601F16">
      <w:pPr>
        <w:pStyle w:val="5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绪论</w:t>
      </w:r>
    </w:p>
    <w:p w14:paraId="47DEE2D5">
      <w:pPr>
        <w:pStyle w:val="5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农药基本概念</w:t>
      </w:r>
    </w:p>
    <w:p w14:paraId="2E93A29A">
      <w:pPr>
        <w:pStyle w:val="5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农药剂型加工与使用方法</w:t>
      </w:r>
    </w:p>
    <w:p w14:paraId="0CDA1869">
      <w:pPr>
        <w:pStyle w:val="5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杀虫剂及杀螨剂</w:t>
      </w:r>
    </w:p>
    <w:p w14:paraId="003659F9">
      <w:pPr>
        <w:pStyle w:val="5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杀菌剂和杀线虫剂</w:t>
      </w:r>
    </w:p>
    <w:p w14:paraId="53306C8C">
      <w:pPr>
        <w:pStyle w:val="5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除草剂</w:t>
      </w:r>
    </w:p>
    <w:p w14:paraId="52AD65F7">
      <w:pPr>
        <w:pStyle w:val="5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植物生长调节剂</w:t>
      </w:r>
    </w:p>
    <w:p w14:paraId="091025A9">
      <w:pPr>
        <w:pStyle w:val="5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农业有害生物抗药性及综合治理</w:t>
      </w:r>
    </w:p>
    <w:p w14:paraId="7D8CC498">
      <w:pPr>
        <w:pStyle w:val="5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生物源天然产物农药</w:t>
      </w:r>
    </w:p>
    <w:p w14:paraId="40264EE5">
      <w:pPr>
        <w:pStyle w:val="5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农药环境毒理</w:t>
      </w:r>
    </w:p>
    <w:p w14:paraId="18AD6BD4">
      <w:pPr>
        <w:rPr>
          <w:sz w:val="18"/>
          <w:szCs w:val="18"/>
          <w:highlight w:val="none"/>
        </w:rPr>
      </w:pPr>
    </w:p>
    <w:p w14:paraId="1DA73332"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  <w:t>参考书目：</w:t>
      </w:r>
    </w:p>
    <w:p w14:paraId="6E6A2E3A">
      <w:pPr>
        <w:widowControl/>
        <w:spacing w:line="360" w:lineRule="auto"/>
        <w:ind w:left="567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《植物化学保护》，徐汉虹. 北京：中国农业出版社，2018.（第五版），978-7-109-23822-0</w:t>
      </w:r>
    </w:p>
    <w:p w14:paraId="2E957713">
      <w:pPr>
        <w:widowControl/>
        <w:spacing w:line="360" w:lineRule="auto"/>
        <w:ind w:left="567"/>
        <w:jc w:val="left"/>
        <w:rPr>
          <w:rFonts w:ascii="仿宋_GB2312" w:hAnsi="仿宋_GB2312" w:eastAsia="仿宋_GB2312" w:cs="仿宋_GB2312"/>
          <w:b/>
          <w:sz w:val="30"/>
          <w:szCs w:val="30"/>
        </w:rPr>
      </w:pPr>
    </w:p>
    <w:p w14:paraId="6026DD54"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 w14:paraId="7B887C42"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 w14:paraId="7954D5AF">
      <w:pPr>
        <w:spacing w:line="60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</w:p>
    <w:p w14:paraId="3AE66BFA">
      <w:pPr>
        <w:spacing w:line="60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</w:p>
    <w:p w14:paraId="7270EA57">
      <w:pPr>
        <w:spacing w:line="60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</w:p>
    <w:p w14:paraId="3705DCE2">
      <w:pPr>
        <w:spacing w:line="60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 xml:space="preserve">学科、专业名称：095131农艺与种业   </w:t>
      </w:r>
    </w:p>
    <w:p w14:paraId="76F7A0CA"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 xml:space="preserve">复试科目名称：同0902园艺学各专业复试科目相同   </w:t>
      </w:r>
      <w:r>
        <w:rPr>
          <w:rFonts w:hint="eastAsia" w:ascii="宋体" w:hAnsi="宋体" w:cs="宋体"/>
          <w:sz w:val="28"/>
          <w:szCs w:val="28"/>
        </w:rPr>
        <w:t xml:space="preserve">   </w:t>
      </w:r>
    </w:p>
    <w:p w14:paraId="14E06BA8">
      <w:pPr>
        <w:spacing w:line="360" w:lineRule="auto"/>
        <w:rPr>
          <w:rFonts w:ascii="仿宋_GB2312" w:hAnsi="仿宋_GB2312" w:eastAsia="仿宋_GB2312" w:cs="仿宋_GB2312"/>
          <w:b/>
          <w:sz w:val="30"/>
          <w:szCs w:val="30"/>
        </w:rPr>
      </w:pPr>
    </w:p>
    <w:p w14:paraId="008ED2B1">
      <w:pPr>
        <w:spacing w:line="60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 xml:space="preserve">学科、专业名称：095132资源利用与植物保护   </w:t>
      </w:r>
    </w:p>
    <w:p w14:paraId="02358ECC">
      <w:pPr>
        <w:spacing w:line="60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 xml:space="preserve">复试科目名称：同0904植物保护学各专业复试科目相同 </w:t>
      </w:r>
    </w:p>
    <w:p w14:paraId="39A3DA88">
      <w:pPr>
        <w:rPr>
          <w:rFonts w:hint="eastAsia" w:ascii="宋体" w:hAnsi="宋体" w:cs="宋体"/>
          <w:sz w:val="28"/>
          <w:szCs w:val="28"/>
        </w:rPr>
      </w:pPr>
    </w:p>
    <w:p w14:paraId="557A092F">
      <w:pPr>
        <w:spacing w:line="60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</w:p>
    <w:p w14:paraId="1363AE93">
      <w:pPr>
        <w:spacing w:line="60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</w:p>
    <w:p w14:paraId="5E035D36">
      <w:pPr>
        <w:spacing w:line="60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试科目名称：农业植物病理学、农业昆虫学</w:t>
      </w:r>
    </w:p>
    <w:p w14:paraId="2ECFC7B9"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  <w:t>参考书目：</w:t>
      </w:r>
    </w:p>
    <w:p w14:paraId="6E9740A4">
      <w:pP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《农业植物病理学》（第三版），董金皋：中国农业出版社，2015</w:t>
      </w:r>
    </w:p>
    <w:p w14:paraId="43F2AAED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《农业昆虫学》（北方本），仵均祥. 北京：农业出版社，2016（第三版）</w:t>
      </w:r>
    </w:p>
    <w:p w14:paraId="18FD507D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</w:p>
    <w:p w14:paraId="5A2E42D0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</w:p>
    <w:p w14:paraId="58529419">
      <w:pPr>
        <w:spacing w:line="60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试科目名称：园艺植物栽培学、园艺植物育种学</w:t>
      </w:r>
    </w:p>
    <w:p w14:paraId="5B9877C8">
      <w:pPr>
        <w:spacing w:line="360" w:lineRule="auto"/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  <w:t>参考书目：</w:t>
      </w:r>
    </w:p>
    <w:p w14:paraId="0843A8A7">
      <w:pP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《园艺植物栽培学》（第3版），范双喜，李光晨主编：中国农业大学出版社</w:t>
      </w:r>
    </w:p>
    <w:p w14:paraId="739EEBDC">
      <w:pP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《园艺植物育种学》，胡桂兵，曹必好主编：科学出版社</w:t>
      </w:r>
    </w:p>
    <w:p w14:paraId="4F4D7C0A">
      <w:pPr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06C30"/>
    <w:multiLevelType w:val="multilevel"/>
    <w:tmpl w:val="E4206C30"/>
    <w:lvl w:ilvl="0" w:tentative="0">
      <w:start w:val="1"/>
      <w:numFmt w:val="decimal"/>
      <w:lvlText w:val="%1.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0907F9D8"/>
    <w:multiLevelType w:val="multilevel"/>
    <w:tmpl w:val="0907F9D8"/>
    <w:lvl w:ilvl="0" w:tentative="0">
      <w:start w:val="1"/>
      <w:numFmt w:val="decimal"/>
      <w:lvlText w:val="%1.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2E789D7B"/>
    <w:multiLevelType w:val="multilevel"/>
    <w:tmpl w:val="2E789D7B"/>
    <w:lvl w:ilvl="0" w:tentative="0">
      <w:start w:val="1"/>
      <w:numFmt w:val="decimal"/>
      <w:lvlText w:val="%1.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C25DC52"/>
    <w:multiLevelType w:val="multilevel"/>
    <w:tmpl w:val="3C25DC52"/>
    <w:lvl w:ilvl="0" w:tentative="0">
      <w:start w:val="1"/>
      <w:numFmt w:val="decimal"/>
      <w:lvlText w:val="%1.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465FCA14"/>
    <w:multiLevelType w:val="multilevel"/>
    <w:tmpl w:val="465FCA14"/>
    <w:lvl w:ilvl="0" w:tentative="0">
      <w:start w:val="1"/>
      <w:numFmt w:val="decimal"/>
      <w:lvlText w:val="%1.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509A7414"/>
    <w:multiLevelType w:val="multilevel"/>
    <w:tmpl w:val="509A7414"/>
    <w:lvl w:ilvl="0" w:tentative="0">
      <w:start w:val="1"/>
      <w:numFmt w:val="decimal"/>
      <w:lvlText w:val="%1.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WUyOGY4OWQ2ODEzMGM2ZmQ4NDU3ZWMxOGNhM2QifQ=="/>
  </w:docVars>
  <w:rsids>
    <w:rsidRoot w:val="00030C65"/>
    <w:rsid w:val="00030C65"/>
    <w:rsid w:val="0022371D"/>
    <w:rsid w:val="006449E8"/>
    <w:rsid w:val="0082576E"/>
    <w:rsid w:val="00982C11"/>
    <w:rsid w:val="00A31506"/>
    <w:rsid w:val="00B03479"/>
    <w:rsid w:val="00CE75C6"/>
    <w:rsid w:val="00F318DF"/>
    <w:rsid w:val="00F35E0C"/>
    <w:rsid w:val="0EC75A69"/>
    <w:rsid w:val="157F40EB"/>
    <w:rsid w:val="1C146065"/>
    <w:rsid w:val="1F1A3821"/>
    <w:rsid w:val="203973B7"/>
    <w:rsid w:val="23780111"/>
    <w:rsid w:val="24D53AA7"/>
    <w:rsid w:val="25A220A9"/>
    <w:rsid w:val="4B31442A"/>
    <w:rsid w:val="5BEA4E36"/>
    <w:rsid w:val="60E56E68"/>
    <w:rsid w:val="69352565"/>
    <w:rsid w:val="69F12DC9"/>
    <w:rsid w:val="6E75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1574</Words>
  <Characters>1701</Characters>
  <Lines>16</Lines>
  <Paragraphs>4</Paragraphs>
  <TotalTime>0</TotalTime>
  <ScaleCrop>false</ScaleCrop>
  <LinksUpToDate>false</LinksUpToDate>
  <CharactersWithSpaces>1734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2021-09-10T08:24:00Z</dcterms:created>
  <dc:creator>A</dc:creator>
  <cp:lastModifiedBy>A</cp:lastModifiedBy>
  <cp:lastPrinted>2024-09-26T02:59:00Z</cp:lastPrinted>
  <dcterms:modified xsi:type="dcterms:W3CDTF">2024-09-27T02:15:09Z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E50F86B6EE104D31A9A71B24EA18F7C9_13</vt:lpwstr>
  </property>
</Properties>
</file>