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BF638">
      <w:pPr>
        <w:spacing w:line="360" w:lineRule="auto"/>
        <w:jc w:val="center"/>
        <w:rPr>
          <w:rFonts w:hint="eastAsia" w:ascii="宋体" w:hAnsi="宋体"/>
          <w:b/>
          <w:sz w:val="36"/>
          <w:szCs w:val="36"/>
        </w:rPr>
      </w:pPr>
      <w:bookmarkStart w:id="0" w:name="_GoBack"/>
      <w:bookmarkEnd w:id="0"/>
      <w:r>
        <w:rPr>
          <w:rFonts w:hint="eastAsia" w:ascii="宋体" w:hAnsi="宋体"/>
          <w:b/>
          <w:sz w:val="36"/>
          <w:szCs w:val="36"/>
        </w:rPr>
        <w:t>2025年硕士研究生入学考试专业课考试大纲</w:t>
      </w:r>
    </w:p>
    <w:tbl>
      <w:tblPr>
        <w:tblStyle w:val="6"/>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5040"/>
      </w:tblGrid>
      <w:tr w14:paraId="1FA0C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63" w:hRule="atLeast"/>
        </w:trPr>
        <w:tc>
          <w:tcPr>
            <w:tcW w:w="3600" w:type="dxa"/>
            <w:noWrap w:val="0"/>
            <w:vAlign w:val="center"/>
          </w:tcPr>
          <w:p w14:paraId="0C0B20D0">
            <w:pPr>
              <w:rPr>
                <w:rFonts w:hint="eastAsia" w:ascii="宋体" w:hAnsi="宋体"/>
                <w:b/>
                <w:sz w:val="28"/>
                <w:szCs w:val="28"/>
              </w:rPr>
            </w:pPr>
            <w:r>
              <w:rPr>
                <w:rFonts w:hint="eastAsia" w:ascii="宋体" w:hAnsi="宋体"/>
                <w:b/>
                <w:sz w:val="28"/>
                <w:szCs w:val="28"/>
              </w:rPr>
              <w:t>考试科目代码：826</w:t>
            </w:r>
          </w:p>
        </w:tc>
        <w:tc>
          <w:tcPr>
            <w:tcW w:w="5040" w:type="dxa"/>
            <w:noWrap w:val="0"/>
            <w:vAlign w:val="center"/>
          </w:tcPr>
          <w:p w14:paraId="39B03E5A">
            <w:pPr>
              <w:spacing w:line="360" w:lineRule="auto"/>
              <w:jc w:val="center"/>
              <w:rPr>
                <w:rFonts w:hint="eastAsia" w:ascii="宋体" w:hAnsi="宋体"/>
                <w:b/>
                <w:color w:val="FF0000"/>
                <w:sz w:val="18"/>
                <w:szCs w:val="18"/>
              </w:rPr>
            </w:pPr>
            <w:r>
              <w:rPr>
                <w:rFonts w:hint="eastAsia" w:ascii="宋体" w:hAnsi="宋体"/>
                <w:b/>
                <w:sz w:val="28"/>
                <w:szCs w:val="28"/>
              </w:rPr>
              <w:t>考试科目名称：</w:t>
            </w:r>
            <w:r>
              <w:rPr>
                <w:rFonts w:hint="eastAsia" w:hAnsi="宋体"/>
                <w:b/>
                <w:color w:val="000000"/>
                <w:sz w:val="28"/>
                <w:szCs w:val="28"/>
              </w:rPr>
              <w:t>制革化学及工艺学</w:t>
            </w:r>
          </w:p>
        </w:tc>
      </w:tr>
      <w:tr w14:paraId="1F77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7" w:hRule="atLeast"/>
        </w:trPr>
        <w:tc>
          <w:tcPr>
            <w:tcW w:w="8640" w:type="dxa"/>
            <w:gridSpan w:val="2"/>
            <w:noWrap w:val="0"/>
            <w:vAlign w:val="center"/>
          </w:tcPr>
          <w:p w14:paraId="621ADB2B">
            <w:pPr>
              <w:rPr>
                <w:rFonts w:hint="eastAsia" w:ascii="宋体" w:hAnsi="宋体"/>
                <w:b/>
                <w:sz w:val="24"/>
              </w:rPr>
            </w:pPr>
            <w:r>
              <w:rPr>
                <w:rFonts w:hint="eastAsia" w:ascii="宋体" w:hAnsi="宋体"/>
                <w:b/>
                <w:sz w:val="24"/>
              </w:rPr>
              <w:t>一、考试要求</w:t>
            </w:r>
          </w:p>
        </w:tc>
      </w:tr>
      <w:tr w14:paraId="7EB5D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5" w:hRule="atLeast"/>
        </w:trPr>
        <w:tc>
          <w:tcPr>
            <w:tcW w:w="8640" w:type="dxa"/>
            <w:gridSpan w:val="2"/>
            <w:noWrap w:val="0"/>
            <w:vAlign w:val="top"/>
          </w:tcPr>
          <w:p w14:paraId="11BAB90C">
            <w:pPr>
              <w:pStyle w:val="2"/>
              <w:adjustRightInd w:val="0"/>
              <w:snapToGrid w:val="0"/>
              <w:spacing w:line="360" w:lineRule="exact"/>
              <w:rPr>
                <w:rFonts w:hint="eastAsia"/>
              </w:rPr>
            </w:pPr>
            <w:r>
              <w:rPr>
                <w:rFonts w:hint="eastAsia" w:hAnsi="宋体"/>
                <w:color w:val="000000"/>
                <w:szCs w:val="21"/>
              </w:rPr>
              <w:t>制革化学及工艺学</w:t>
            </w:r>
            <w:r>
              <w:rPr>
                <w:rFonts w:hint="eastAsia" w:hAnsi="宋体"/>
                <w:szCs w:val="21"/>
              </w:rPr>
              <w:t>研究生入学考试是为所招收皮革化学与工程专业硕士研究生而实施的具有选拔功能的水平考试。它要求考生全面系统地掌握有关制革化学及工艺学的基本概念、原理以及制革加工过程，重点</w:t>
            </w:r>
            <w:r>
              <w:rPr>
                <w:rFonts w:hint="eastAsia"/>
              </w:rPr>
              <w:t>掌握主要原料皮的组织结构特征、加工工艺及影响加工质量的各因素，熟悉主要的无机、有机鞣剂鞣革特点及作用机理，了解</w:t>
            </w:r>
            <w:r>
              <w:rPr>
                <w:rFonts w:hint="eastAsia" w:hAnsi="宋体"/>
                <w:color w:val="000000"/>
                <w:szCs w:val="21"/>
              </w:rPr>
              <w:t>制革化学及工艺学方面</w:t>
            </w:r>
            <w:r>
              <w:rPr>
                <w:rFonts w:hint="eastAsia"/>
              </w:rPr>
              <w:t>较前沿的</w:t>
            </w:r>
            <w:r>
              <w:rPr>
                <w:rFonts w:hint="eastAsia" w:hAnsi="宋体"/>
                <w:color w:val="000000"/>
                <w:szCs w:val="21"/>
              </w:rPr>
              <w:t>进展和发展趋势</w:t>
            </w:r>
            <w:r>
              <w:rPr>
                <w:rFonts w:hint="eastAsia"/>
              </w:rPr>
              <w:t>。</w:t>
            </w:r>
          </w:p>
        </w:tc>
      </w:tr>
      <w:tr w14:paraId="3B1BF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7" w:hRule="atLeast"/>
        </w:trPr>
        <w:tc>
          <w:tcPr>
            <w:tcW w:w="8640" w:type="dxa"/>
            <w:gridSpan w:val="2"/>
            <w:noWrap w:val="0"/>
            <w:vAlign w:val="center"/>
          </w:tcPr>
          <w:p w14:paraId="212C749F">
            <w:pPr>
              <w:rPr>
                <w:rFonts w:hint="eastAsia" w:ascii="宋体" w:hAnsi="宋体"/>
                <w:b/>
                <w:sz w:val="24"/>
              </w:rPr>
            </w:pPr>
            <w:r>
              <w:rPr>
                <w:rFonts w:hint="eastAsia" w:ascii="宋体" w:hAnsi="宋体"/>
                <w:b/>
                <w:sz w:val="24"/>
              </w:rPr>
              <w:t>二、考试内容</w:t>
            </w:r>
          </w:p>
        </w:tc>
      </w:tr>
      <w:tr w14:paraId="2556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801" w:hRule="atLeast"/>
        </w:trPr>
        <w:tc>
          <w:tcPr>
            <w:tcW w:w="8640" w:type="dxa"/>
            <w:gridSpan w:val="2"/>
            <w:noWrap w:val="0"/>
            <w:vAlign w:val="top"/>
          </w:tcPr>
          <w:p w14:paraId="496CD0AB">
            <w:pPr>
              <w:spacing w:line="400" w:lineRule="exact"/>
              <w:rPr>
                <w:rFonts w:ascii="宋体" w:hAnsi="宋体"/>
                <w:b/>
                <w:szCs w:val="21"/>
              </w:rPr>
            </w:pPr>
            <w:r>
              <w:rPr>
                <w:rFonts w:ascii="宋体" w:hAnsi="宋体"/>
                <w:b/>
                <w:szCs w:val="21"/>
              </w:rPr>
              <w:t>1.</w:t>
            </w:r>
            <w:r>
              <w:rPr>
                <w:rFonts w:hint="eastAsia" w:ascii="宋体" w:hAnsi="宋体"/>
                <w:color w:val="000000"/>
                <w:sz w:val="24"/>
              </w:rPr>
              <w:t xml:space="preserve"> </w:t>
            </w:r>
            <w:r>
              <w:rPr>
                <w:rFonts w:hint="eastAsia" w:ascii="宋体" w:hAnsi="宋体"/>
                <w:b/>
                <w:color w:val="000000"/>
                <w:szCs w:val="21"/>
              </w:rPr>
              <w:t>原料皮</w:t>
            </w:r>
          </w:p>
          <w:p w14:paraId="68C69F90">
            <w:pPr>
              <w:pStyle w:val="8"/>
              <w:numPr>
                <w:ilvl w:val="0"/>
                <w:numId w:val="1"/>
              </w:numPr>
              <w:autoSpaceDE w:val="0"/>
              <w:autoSpaceDN w:val="0"/>
              <w:spacing w:line="400" w:lineRule="exact"/>
              <w:ind w:right="-15"/>
              <w:textAlignment w:val="bottom"/>
              <w:rPr>
                <w:rFonts w:hAnsi="宋体"/>
                <w:sz w:val="21"/>
                <w:szCs w:val="21"/>
              </w:rPr>
            </w:pPr>
            <w:r>
              <w:rPr>
                <w:rFonts w:hint="eastAsia" w:hAnsi="宋体"/>
                <w:color w:val="000000"/>
                <w:sz w:val="21"/>
                <w:szCs w:val="21"/>
              </w:rPr>
              <w:t>生皮的一般组织构造</w:t>
            </w:r>
          </w:p>
          <w:p w14:paraId="167D3195">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常用原料皮(牛皮、羊皮、猪皮)的组织结构特点</w:t>
            </w:r>
          </w:p>
          <w:p w14:paraId="447F089D">
            <w:pPr>
              <w:pStyle w:val="8"/>
              <w:numPr>
                <w:ilvl w:val="0"/>
                <w:numId w:val="1"/>
              </w:numPr>
              <w:autoSpaceDE w:val="0"/>
              <w:autoSpaceDN w:val="0"/>
              <w:spacing w:line="400" w:lineRule="exact"/>
              <w:ind w:right="-15"/>
              <w:textAlignment w:val="bottom"/>
              <w:rPr>
                <w:rFonts w:hAnsi="宋体"/>
                <w:sz w:val="21"/>
                <w:szCs w:val="21"/>
              </w:rPr>
            </w:pPr>
            <w:r>
              <w:rPr>
                <w:rFonts w:hint="eastAsia" w:hAnsi="宋体"/>
                <w:color w:val="000000"/>
                <w:sz w:val="21"/>
                <w:szCs w:val="21"/>
              </w:rPr>
              <w:t>常用的防腐保藏方法</w:t>
            </w:r>
          </w:p>
          <w:p w14:paraId="6E21AC33">
            <w:pPr>
              <w:spacing w:line="360" w:lineRule="auto"/>
              <w:rPr>
                <w:rFonts w:hint="eastAsia" w:ascii="宋体" w:hAnsi="宋体"/>
                <w:b/>
                <w:szCs w:val="21"/>
              </w:rPr>
            </w:pPr>
            <w:r>
              <w:rPr>
                <w:rFonts w:hint="eastAsia" w:ascii="宋体" w:hAnsi="宋体"/>
                <w:b/>
                <w:szCs w:val="21"/>
              </w:rPr>
              <w:t>2．</w:t>
            </w:r>
            <w:r>
              <w:rPr>
                <w:rFonts w:hint="eastAsia" w:ascii="宋体" w:hAnsi="宋体"/>
                <w:b/>
                <w:color w:val="000000"/>
                <w:szCs w:val="21"/>
              </w:rPr>
              <w:t>准备工程</w:t>
            </w:r>
          </w:p>
          <w:p w14:paraId="6C0A6969">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浸水的作用、影响因素</w:t>
            </w:r>
          </w:p>
          <w:p w14:paraId="160604F7">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脱毛的方法与原理</w:t>
            </w:r>
          </w:p>
          <w:p w14:paraId="23A079BC">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生皮浸灰的原理与作用</w:t>
            </w:r>
          </w:p>
          <w:p w14:paraId="5EDE7B8F">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脱灰目的、主要操作及脱灰程度控制</w:t>
            </w:r>
          </w:p>
          <w:p w14:paraId="33CC40BD">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酶软化的原理及其控制因素</w:t>
            </w:r>
          </w:p>
          <w:p w14:paraId="3C4C727B">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浸酸与去酸的基本方法</w:t>
            </w:r>
          </w:p>
          <w:p w14:paraId="7AF0193D">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准备工段的主要污染与清洁化生产方法</w:t>
            </w:r>
          </w:p>
          <w:p w14:paraId="3CABBE0B">
            <w:pPr>
              <w:spacing w:line="360" w:lineRule="auto"/>
              <w:rPr>
                <w:rFonts w:hint="eastAsia" w:ascii="宋体" w:hAnsi="宋体"/>
                <w:szCs w:val="21"/>
              </w:rPr>
            </w:pPr>
            <w:r>
              <w:rPr>
                <w:rFonts w:hint="eastAsia" w:ascii="宋体" w:hAnsi="宋体"/>
                <w:b/>
                <w:szCs w:val="21"/>
              </w:rPr>
              <w:t>3</w:t>
            </w:r>
            <w:r>
              <w:rPr>
                <w:rFonts w:hint="eastAsia" w:ascii="宋体" w:hAnsi="宋体"/>
                <w:szCs w:val="21"/>
              </w:rPr>
              <w:t>．</w:t>
            </w:r>
            <w:r>
              <w:rPr>
                <w:rFonts w:hint="eastAsia" w:ascii="宋体" w:hAnsi="宋体"/>
                <w:b/>
                <w:color w:val="000000"/>
                <w:szCs w:val="21"/>
              </w:rPr>
              <w:t>鞣制</w:t>
            </w:r>
            <w:r>
              <w:rPr>
                <w:rFonts w:hint="eastAsia" w:ascii="宋体" w:hAnsi="宋体"/>
                <w:b/>
                <w:bCs/>
                <w:kern w:val="0"/>
                <w:szCs w:val="21"/>
              </w:rPr>
              <w:t xml:space="preserve"> </w:t>
            </w:r>
            <w:r>
              <w:rPr>
                <w:rFonts w:hint="eastAsia" w:ascii="宋体" w:hAnsi="宋体"/>
                <w:szCs w:val="21"/>
              </w:rPr>
              <w:t xml:space="preserve"> </w:t>
            </w:r>
          </w:p>
          <w:p w14:paraId="01599A3C">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鞣制、鞣剂、鞣法的基本概念、鞣制效应、配位体相互取代与相互影响、蒙囿剂和蒙囿作用的概念</w:t>
            </w:r>
          </w:p>
          <w:p w14:paraId="4B251FB9">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铬鞣液或铬鞣剂的碱度，</w:t>
            </w:r>
            <w:r>
              <w:rPr>
                <w:rFonts w:hint="eastAsia" w:hAnsi="宋体"/>
                <w:color w:val="000000"/>
                <w:sz w:val="21"/>
                <w:szCs w:val="21"/>
              </w:rPr>
              <w:t>铬络合物在溶液中的状态，铬络合物的水解、配聚性质</w:t>
            </w:r>
          </w:p>
          <w:p w14:paraId="713E0888">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铬鞣的原理、铬鞣过程的影响因素及其控制</w:t>
            </w:r>
          </w:p>
          <w:p w14:paraId="147F5073">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铬鞣方法、铬鞣易产生的缺陷及其预防措施</w:t>
            </w:r>
          </w:p>
          <w:p w14:paraId="03285141">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铬鞣</w:t>
            </w:r>
            <w:r>
              <w:rPr>
                <w:rFonts w:hint="eastAsia" w:hAnsi="宋体"/>
                <w:color w:val="000000"/>
                <w:sz w:val="21"/>
                <w:szCs w:val="21"/>
              </w:rPr>
              <w:t>工段的主要污染与清洁化生产方法</w:t>
            </w:r>
          </w:p>
          <w:p w14:paraId="03534F7D">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鞣剂的分类和各种鞣剂的鞣革特点</w:t>
            </w:r>
          </w:p>
          <w:p w14:paraId="079D973A">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合成鞣剂的定义、种类及其各自的结构与特性</w:t>
            </w:r>
          </w:p>
          <w:p w14:paraId="63CE770D">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醛鞣剂的种类及其特性，醛鞣剂的鞣革原理及其影响因素</w:t>
            </w:r>
          </w:p>
          <w:p w14:paraId="58FC66A8">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树脂鞣剂的定义，树脂鞣剂的鞣革机理及鞣革特点</w:t>
            </w:r>
          </w:p>
          <w:p w14:paraId="04CC1934">
            <w:pPr>
              <w:spacing w:line="360" w:lineRule="auto"/>
              <w:rPr>
                <w:rFonts w:hint="eastAsia" w:ascii="宋体" w:hAnsi="宋体"/>
                <w:szCs w:val="21"/>
              </w:rPr>
            </w:pPr>
            <w:r>
              <w:rPr>
                <w:rFonts w:hint="eastAsia" w:ascii="宋体" w:hAnsi="宋体"/>
                <w:b/>
                <w:szCs w:val="21"/>
              </w:rPr>
              <w:t>4．</w:t>
            </w:r>
            <w:r>
              <w:rPr>
                <w:rFonts w:hint="eastAsia" w:ascii="宋体" w:hAnsi="宋体"/>
                <w:b/>
                <w:color w:val="000000"/>
                <w:spacing w:val="20"/>
                <w:szCs w:val="21"/>
              </w:rPr>
              <w:t>鞣后湿整理</w:t>
            </w:r>
          </w:p>
          <w:p w14:paraId="6B493285">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常用的复鞣方法(可按鞣剂名称分类)及其复鞣革的性能特点</w:t>
            </w:r>
          </w:p>
          <w:p w14:paraId="3F607B09">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中和的原理与作用</w:t>
            </w:r>
          </w:p>
          <w:p w14:paraId="15D67B30">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阴离子染料染色过程的控制方法及控制原理</w:t>
            </w:r>
          </w:p>
          <w:p w14:paraId="50A63A21">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加脂的原理与控制方法</w:t>
            </w:r>
          </w:p>
          <w:p w14:paraId="286BD736">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复鞣、中和、染色、加脂一体化工艺的过程控制分析</w:t>
            </w:r>
          </w:p>
          <w:p w14:paraId="26A9375C">
            <w:pPr>
              <w:spacing w:line="400" w:lineRule="exact"/>
              <w:rPr>
                <w:rFonts w:hint="eastAsia" w:ascii="宋体" w:hAnsi="宋体"/>
              </w:rPr>
            </w:pPr>
            <w:r>
              <w:rPr>
                <w:rFonts w:hint="eastAsia"/>
                <w:b/>
              </w:rPr>
              <w:t>5．</w:t>
            </w:r>
            <w:r>
              <w:rPr>
                <w:rFonts w:hint="eastAsia" w:ascii="宋体" w:hAnsi="宋体"/>
                <w:b/>
                <w:color w:val="000000"/>
                <w:spacing w:val="20"/>
                <w:szCs w:val="21"/>
              </w:rPr>
              <w:t>干燥与机械整理</w:t>
            </w:r>
          </w:p>
          <w:p w14:paraId="46C7BB75">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常用的干燥方法及其干燥后革的性能特点</w:t>
            </w:r>
          </w:p>
          <w:p w14:paraId="3AFB3FD9">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干燥的原理及干燥过程中干燥速率与坯革水分含量的变化规律</w:t>
            </w:r>
          </w:p>
          <w:p w14:paraId="0326E083">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干燥过程的控制</w:t>
            </w:r>
          </w:p>
          <w:p w14:paraId="320C0CCE">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pacing w:val="20"/>
                <w:sz w:val="21"/>
                <w:szCs w:val="21"/>
              </w:rPr>
              <w:t>干坯革的机械整理方法与原理</w:t>
            </w:r>
          </w:p>
          <w:p w14:paraId="4F179164">
            <w:pPr>
              <w:spacing w:line="360" w:lineRule="auto"/>
              <w:rPr>
                <w:rFonts w:hint="eastAsia" w:ascii="宋体" w:hAnsi="宋体"/>
                <w:szCs w:val="21"/>
              </w:rPr>
            </w:pPr>
            <w:r>
              <w:rPr>
                <w:rFonts w:hint="eastAsia" w:ascii="宋体" w:hAnsi="宋体"/>
                <w:b/>
                <w:szCs w:val="21"/>
              </w:rPr>
              <w:t>6</w:t>
            </w:r>
            <w:r>
              <w:rPr>
                <w:rFonts w:hint="eastAsia" w:ascii="宋体" w:hAnsi="宋体"/>
                <w:szCs w:val="21"/>
              </w:rPr>
              <w:t>．</w:t>
            </w:r>
            <w:r>
              <w:rPr>
                <w:rFonts w:hint="eastAsia" w:ascii="宋体" w:hAnsi="宋体"/>
                <w:b/>
                <w:color w:val="000000"/>
                <w:spacing w:val="20"/>
                <w:szCs w:val="21"/>
              </w:rPr>
              <w:t>涂饰</w:t>
            </w:r>
            <w:r>
              <w:rPr>
                <w:rFonts w:hint="eastAsia" w:ascii="宋体" w:hAnsi="宋体"/>
                <w:b/>
                <w:bCs/>
                <w:kern w:val="0"/>
                <w:szCs w:val="21"/>
              </w:rPr>
              <w:t xml:space="preserve"> </w:t>
            </w:r>
            <w:r>
              <w:rPr>
                <w:rFonts w:hint="eastAsia" w:ascii="宋体" w:hAnsi="宋体"/>
                <w:szCs w:val="21"/>
              </w:rPr>
              <w:t xml:space="preserve">  </w:t>
            </w:r>
          </w:p>
          <w:p w14:paraId="3732896D">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涂饰剂的组成与配置方法</w:t>
            </w:r>
          </w:p>
          <w:p w14:paraId="3FF7A16D">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涂层的基本构成与设计</w:t>
            </w:r>
          </w:p>
          <w:p w14:paraId="04365347">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常用的施涂方法及其特点</w:t>
            </w:r>
          </w:p>
          <w:p w14:paraId="316BB4AC">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涂饰过程中易产生的缺陷及其原因</w:t>
            </w:r>
          </w:p>
          <w:p w14:paraId="614CB526">
            <w:pPr>
              <w:pStyle w:val="8"/>
              <w:numPr>
                <w:ilvl w:val="0"/>
                <w:numId w:val="1"/>
              </w:numPr>
              <w:autoSpaceDE w:val="0"/>
              <w:autoSpaceDN w:val="0"/>
              <w:spacing w:line="400" w:lineRule="exact"/>
              <w:ind w:right="-15"/>
              <w:textAlignment w:val="bottom"/>
              <w:rPr>
                <w:rFonts w:hint="eastAsia" w:hAnsi="宋体"/>
                <w:sz w:val="21"/>
                <w:szCs w:val="21"/>
              </w:rPr>
            </w:pPr>
            <w:r>
              <w:rPr>
                <w:rFonts w:hint="eastAsia" w:hAnsi="宋体"/>
                <w:color w:val="000000"/>
                <w:sz w:val="21"/>
                <w:szCs w:val="21"/>
              </w:rPr>
              <w:t>涂饰过程中易产生的污染与清洁化生产方法</w:t>
            </w:r>
          </w:p>
        </w:tc>
      </w:tr>
      <w:tr w14:paraId="2FD83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2" w:hRule="atLeast"/>
        </w:trPr>
        <w:tc>
          <w:tcPr>
            <w:tcW w:w="8640" w:type="dxa"/>
            <w:gridSpan w:val="2"/>
            <w:noWrap w:val="0"/>
            <w:vAlign w:val="center"/>
          </w:tcPr>
          <w:p w14:paraId="2F90D638">
            <w:pPr>
              <w:rPr>
                <w:rFonts w:hint="eastAsia" w:ascii="宋体" w:hAnsi="宋体"/>
                <w:b/>
              </w:rPr>
            </w:pPr>
            <w:r>
              <w:rPr>
                <w:rFonts w:hint="eastAsia" w:ascii="宋体" w:hAnsi="宋体"/>
                <w:b/>
                <w:sz w:val="24"/>
              </w:rPr>
              <w:t>三、题型结构</w:t>
            </w:r>
          </w:p>
        </w:tc>
      </w:tr>
      <w:tr w14:paraId="2BFD1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3" w:hRule="atLeast"/>
        </w:trPr>
        <w:tc>
          <w:tcPr>
            <w:tcW w:w="8640" w:type="dxa"/>
            <w:gridSpan w:val="2"/>
            <w:noWrap w:val="0"/>
            <w:vAlign w:val="top"/>
          </w:tcPr>
          <w:p w14:paraId="60D055EE">
            <w:pPr>
              <w:spacing w:line="400" w:lineRule="exact"/>
              <w:rPr>
                <w:rFonts w:ascii="宋体" w:hAnsi="宋体"/>
                <w:szCs w:val="21"/>
              </w:rPr>
            </w:pPr>
            <w:r>
              <w:rPr>
                <w:rFonts w:hint="eastAsia" w:ascii="宋体" w:hAnsi="宋体"/>
                <w:szCs w:val="21"/>
              </w:rPr>
              <w:t>1、名词解释</w:t>
            </w:r>
            <w:r>
              <w:rPr>
                <w:rFonts w:ascii="宋体" w:hAnsi="宋体"/>
                <w:szCs w:val="21"/>
              </w:rPr>
              <w:t>（共</w:t>
            </w:r>
            <w:r>
              <w:rPr>
                <w:rFonts w:hint="eastAsia" w:ascii="宋体" w:hAnsi="宋体"/>
                <w:szCs w:val="21"/>
              </w:rPr>
              <w:t>8</w:t>
            </w:r>
            <w:r>
              <w:rPr>
                <w:rFonts w:ascii="宋体" w:hAnsi="宋体"/>
                <w:szCs w:val="21"/>
              </w:rPr>
              <w:t>题，每题</w:t>
            </w:r>
            <w:r>
              <w:rPr>
                <w:rFonts w:hint="eastAsia" w:ascii="宋体" w:hAnsi="宋体"/>
                <w:szCs w:val="21"/>
              </w:rPr>
              <w:t>5</w:t>
            </w:r>
            <w:r>
              <w:rPr>
                <w:rFonts w:ascii="宋体" w:hAnsi="宋体"/>
                <w:szCs w:val="21"/>
              </w:rPr>
              <w:t>分，共</w:t>
            </w:r>
            <w:r>
              <w:rPr>
                <w:rFonts w:hint="eastAsia" w:ascii="宋体" w:hAnsi="宋体"/>
                <w:szCs w:val="21"/>
              </w:rPr>
              <w:t>40</w:t>
            </w:r>
            <w:r>
              <w:rPr>
                <w:rFonts w:ascii="宋体" w:hAnsi="宋体"/>
                <w:szCs w:val="21"/>
              </w:rPr>
              <w:t>分）</w:t>
            </w:r>
          </w:p>
          <w:p w14:paraId="271A672E">
            <w:pPr>
              <w:spacing w:line="400" w:lineRule="exact"/>
              <w:rPr>
                <w:rFonts w:ascii="宋体" w:hAnsi="宋体"/>
                <w:szCs w:val="21"/>
              </w:rPr>
            </w:pPr>
            <w:r>
              <w:rPr>
                <w:rFonts w:ascii="宋体" w:hAnsi="宋体"/>
                <w:szCs w:val="21"/>
              </w:rPr>
              <w:t>2</w:t>
            </w:r>
            <w:r>
              <w:rPr>
                <w:rFonts w:hint="eastAsia" w:ascii="宋体" w:hAnsi="宋体"/>
                <w:szCs w:val="21"/>
              </w:rPr>
              <w:t>、判断题</w:t>
            </w:r>
            <w:r>
              <w:rPr>
                <w:rFonts w:ascii="宋体" w:hAnsi="宋体"/>
                <w:szCs w:val="21"/>
              </w:rPr>
              <w:t xml:space="preserve"> (共</w:t>
            </w:r>
            <w:r>
              <w:rPr>
                <w:rFonts w:hint="eastAsia" w:ascii="宋体" w:hAnsi="宋体"/>
                <w:szCs w:val="21"/>
              </w:rPr>
              <w:t>15</w:t>
            </w:r>
            <w:r>
              <w:rPr>
                <w:rFonts w:ascii="宋体" w:hAnsi="宋体"/>
                <w:szCs w:val="21"/>
              </w:rPr>
              <w:t>题，每题</w:t>
            </w:r>
            <w:r>
              <w:rPr>
                <w:rFonts w:hint="eastAsia" w:ascii="宋体" w:hAnsi="宋体"/>
                <w:szCs w:val="21"/>
              </w:rPr>
              <w:t>2</w:t>
            </w:r>
            <w:r>
              <w:rPr>
                <w:rFonts w:ascii="宋体" w:hAnsi="宋体"/>
                <w:szCs w:val="21"/>
              </w:rPr>
              <w:t>分，共</w:t>
            </w:r>
            <w:r>
              <w:rPr>
                <w:rFonts w:hint="eastAsia" w:ascii="宋体" w:hAnsi="宋体"/>
                <w:szCs w:val="21"/>
              </w:rPr>
              <w:t>30</w:t>
            </w:r>
            <w:r>
              <w:rPr>
                <w:rFonts w:ascii="宋体" w:hAnsi="宋体"/>
                <w:szCs w:val="21"/>
              </w:rPr>
              <w:t>分)</w:t>
            </w:r>
          </w:p>
          <w:p w14:paraId="06C73870">
            <w:pPr>
              <w:spacing w:line="400" w:lineRule="exact"/>
              <w:rPr>
                <w:rFonts w:hint="eastAsia" w:ascii="宋体" w:hAnsi="宋体"/>
                <w:szCs w:val="21"/>
              </w:rPr>
            </w:pPr>
            <w:r>
              <w:rPr>
                <w:rFonts w:hint="eastAsia" w:ascii="宋体" w:hAnsi="宋体"/>
                <w:szCs w:val="21"/>
              </w:rPr>
              <w:t>3、问</w:t>
            </w:r>
            <w:r>
              <w:rPr>
                <w:rFonts w:ascii="宋体" w:hAnsi="宋体"/>
                <w:szCs w:val="21"/>
              </w:rPr>
              <w:t>答</w:t>
            </w:r>
            <w:r>
              <w:rPr>
                <w:rFonts w:hint="eastAsia" w:ascii="宋体" w:hAnsi="宋体"/>
                <w:szCs w:val="21"/>
              </w:rPr>
              <w:t>题</w:t>
            </w:r>
            <w:r>
              <w:rPr>
                <w:rFonts w:ascii="宋体" w:hAnsi="宋体"/>
                <w:szCs w:val="21"/>
              </w:rPr>
              <w:t>（共</w:t>
            </w:r>
            <w:r>
              <w:rPr>
                <w:rFonts w:hint="eastAsia" w:ascii="宋体" w:hAnsi="宋体"/>
                <w:szCs w:val="21"/>
              </w:rPr>
              <w:t>8</w:t>
            </w:r>
            <w:r>
              <w:rPr>
                <w:rFonts w:ascii="宋体" w:hAnsi="宋体"/>
                <w:szCs w:val="21"/>
              </w:rPr>
              <w:t>题，每题</w:t>
            </w:r>
            <w:r>
              <w:rPr>
                <w:rFonts w:hint="eastAsia" w:ascii="宋体" w:hAnsi="宋体"/>
                <w:szCs w:val="21"/>
              </w:rPr>
              <w:t>10</w:t>
            </w:r>
            <w:r>
              <w:rPr>
                <w:rFonts w:ascii="宋体" w:hAnsi="宋体"/>
                <w:szCs w:val="21"/>
              </w:rPr>
              <w:t>分，共</w:t>
            </w:r>
            <w:r>
              <w:rPr>
                <w:rFonts w:hint="eastAsia" w:ascii="宋体" w:hAnsi="宋体"/>
                <w:szCs w:val="21"/>
              </w:rPr>
              <w:t>80</w:t>
            </w:r>
            <w:r>
              <w:rPr>
                <w:rFonts w:ascii="宋体" w:hAnsi="宋体"/>
                <w:szCs w:val="21"/>
              </w:rPr>
              <w:t>分）</w:t>
            </w:r>
          </w:p>
        </w:tc>
      </w:tr>
      <w:tr w14:paraId="7B4C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0" w:hRule="atLeast"/>
        </w:trPr>
        <w:tc>
          <w:tcPr>
            <w:tcW w:w="8640" w:type="dxa"/>
            <w:gridSpan w:val="2"/>
            <w:noWrap w:val="0"/>
            <w:vAlign w:val="center"/>
          </w:tcPr>
          <w:p w14:paraId="6B1AD38C">
            <w:pPr>
              <w:rPr>
                <w:rFonts w:hint="eastAsia" w:ascii="宋体" w:hAnsi="宋体"/>
                <w:b/>
              </w:rPr>
            </w:pPr>
            <w:r>
              <w:rPr>
                <w:rFonts w:hint="eastAsia" w:ascii="宋体" w:hAnsi="宋体"/>
                <w:b/>
                <w:sz w:val="24"/>
              </w:rPr>
              <w:t>四、参考书目</w:t>
            </w:r>
          </w:p>
        </w:tc>
      </w:tr>
      <w:tr w14:paraId="788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7" w:hRule="atLeast"/>
        </w:trPr>
        <w:tc>
          <w:tcPr>
            <w:tcW w:w="8640" w:type="dxa"/>
            <w:gridSpan w:val="2"/>
            <w:noWrap w:val="0"/>
            <w:vAlign w:val="top"/>
          </w:tcPr>
          <w:p w14:paraId="1EE55000">
            <w:pPr>
              <w:adjustRightInd w:val="0"/>
              <w:snapToGrid w:val="0"/>
              <w:spacing w:line="360" w:lineRule="exact"/>
              <w:rPr>
                <w:rFonts w:hint="eastAsia" w:ascii="黑体" w:hAnsi="宋体" w:eastAsia="黑体"/>
                <w:szCs w:val="21"/>
              </w:rPr>
            </w:pPr>
            <w:r>
              <w:rPr>
                <w:rFonts w:ascii="宋体" w:hAnsi="宋体"/>
                <w:szCs w:val="21"/>
              </w:rPr>
              <w:t>1.</w:t>
            </w:r>
            <w:r>
              <w:rPr>
                <w:rFonts w:hint="eastAsia" w:ascii="宋体" w:hAnsi="宋体"/>
                <w:szCs w:val="21"/>
              </w:rPr>
              <w:t xml:space="preserve"> 廖隆理，单志华 主编.    制革化学与工艺学（上下册）.  科学出版社，2005</w:t>
            </w:r>
          </w:p>
          <w:p w14:paraId="09B7E5C2">
            <w:pPr>
              <w:adjustRightInd w:val="0"/>
              <w:snapToGrid w:val="0"/>
              <w:spacing w:line="360" w:lineRule="exact"/>
              <w:rPr>
                <w:rFonts w:hint="eastAsia" w:ascii="宋体" w:hAnsi="宋体"/>
                <w:szCs w:val="21"/>
              </w:rPr>
            </w:pPr>
            <w:r>
              <w:rPr>
                <w:rFonts w:hint="eastAsia" w:ascii="宋体" w:hAnsi="宋体"/>
                <w:szCs w:val="21"/>
              </w:rPr>
              <w:t>2.</w:t>
            </w:r>
            <w:r>
              <w:rPr>
                <w:rFonts w:ascii="宋体" w:hAnsi="宋体" w:cs="Arial"/>
                <w:color w:val="000000"/>
                <w:kern w:val="0"/>
                <w:szCs w:val="21"/>
              </w:rPr>
              <w:t xml:space="preserve"> 但卫华</w:t>
            </w:r>
            <w:r>
              <w:rPr>
                <w:rFonts w:hint="eastAsia" w:ascii="宋体" w:hAnsi="宋体" w:cs="Arial"/>
                <w:color w:val="000000"/>
                <w:kern w:val="0"/>
                <w:szCs w:val="21"/>
              </w:rPr>
              <w:t xml:space="preserve"> </w:t>
            </w:r>
            <w:r>
              <w:rPr>
                <w:rFonts w:ascii="宋体" w:hAnsi="宋体" w:cs="Arial"/>
                <w:color w:val="000000"/>
                <w:kern w:val="0"/>
                <w:szCs w:val="21"/>
              </w:rPr>
              <w:t>主编</w:t>
            </w:r>
            <w:r>
              <w:rPr>
                <w:rFonts w:hint="eastAsia" w:ascii="宋体" w:hAnsi="宋体" w:cs="Arial"/>
                <w:color w:val="000000"/>
                <w:kern w:val="0"/>
                <w:szCs w:val="21"/>
              </w:rPr>
              <w:t>.</w:t>
            </w:r>
            <w:r>
              <w:rPr>
                <w:rFonts w:hint="eastAsia"/>
                <w:szCs w:val="21"/>
              </w:rPr>
              <w:t xml:space="preserve">            </w:t>
            </w:r>
            <w:r>
              <w:rPr>
                <w:rFonts w:hint="eastAsia" w:ascii="宋体" w:hAnsi="宋体"/>
                <w:szCs w:val="21"/>
              </w:rPr>
              <w:t xml:space="preserve">制革化学及工艺学.        </w:t>
            </w:r>
            <w:r>
              <w:rPr>
                <w:rFonts w:ascii="宋体" w:hAnsi="宋体" w:cs="Arial"/>
                <w:color w:val="000000"/>
                <w:kern w:val="0"/>
                <w:szCs w:val="21"/>
              </w:rPr>
              <w:t>中国轻工业出版社</w:t>
            </w:r>
            <w:r>
              <w:rPr>
                <w:rFonts w:hint="eastAsia" w:ascii="宋体" w:hAnsi="宋体" w:cs="Arial"/>
                <w:color w:val="000000"/>
                <w:kern w:val="0"/>
                <w:szCs w:val="21"/>
              </w:rPr>
              <w:t>，</w:t>
            </w:r>
            <w:r>
              <w:rPr>
                <w:rFonts w:ascii="宋体" w:hAnsi="宋体" w:cs="Arial"/>
                <w:color w:val="000000"/>
                <w:kern w:val="0"/>
                <w:szCs w:val="21"/>
              </w:rPr>
              <w:t>2006</w:t>
            </w:r>
          </w:p>
        </w:tc>
      </w:tr>
    </w:tbl>
    <w:p w14:paraId="68F593E3">
      <w:pPr>
        <w:rPr>
          <w:rFonts w:hint="eastAsi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843D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67AFF"/>
    <w:multiLevelType w:val="multilevel"/>
    <w:tmpl w:val="0CF67AFF"/>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CD3"/>
    <w:rsid w:val="00014917"/>
    <w:rsid w:val="000203DF"/>
    <w:rsid w:val="00020946"/>
    <w:rsid w:val="00020CB3"/>
    <w:rsid w:val="00050939"/>
    <w:rsid w:val="00051479"/>
    <w:rsid w:val="000757C9"/>
    <w:rsid w:val="00076E0D"/>
    <w:rsid w:val="000828DA"/>
    <w:rsid w:val="00085D91"/>
    <w:rsid w:val="000936B3"/>
    <w:rsid w:val="00094685"/>
    <w:rsid w:val="000A6462"/>
    <w:rsid w:val="000C4986"/>
    <w:rsid w:val="000C7192"/>
    <w:rsid w:val="000E17B2"/>
    <w:rsid w:val="000F202F"/>
    <w:rsid w:val="00125593"/>
    <w:rsid w:val="001377D9"/>
    <w:rsid w:val="0014214E"/>
    <w:rsid w:val="00160C08"/>
    <w:rsid w:val="00176625"/>
    <w:rsid w:val="00181F75"/>
    <w:rsid w:val="00184F1A"/>
    <w:rsid w:val="001A7686"/>
    <w:rsid w:val="001C4729"/>
    <w:rsid w:val="001D6966"/>
    <w:rsid w:val="001F6F75"/>
    <w:rsid w:val="002176A8"/>
    <w:rsid w:val="00251969"/>
    <w:rsid w:val="00252094"/>
    <w:rsid w:val="002610A9"/>
    <w:rsid w:val="00275F92"/>
    <w:rsid w:val="00290484"/>
    <w:rsid w:val="002F238A"/>
    <w:rsid w:val="002F2CB9"/>
    <w:rsid w:val="00302D9D"/>
    <w:rsid w:val="00306FB7"/>
    <w:rsid w:val="00307013"/>
    <w:rsid w:val="003317CA"/>
    <w:rsid w:val="00341E67"/>
    <w:rsid w:val="003C2E29"/>
    <w:rsid w:val="003C661E"/>
    <w:rsid w:val="003D0F43"/>
    <w:rsid w:val="003F6FD0"/>
    <w:rsid w:val="003F7FC0"/>
    <w:rsid w:val="0041781B"/>
    <w:rsid w:val="00490549"/>
    <w:rsid w:val="00495FF8"/>
    <w:rsid w:val="004D7811"/>
    <w:rsid w:val="004E3003"/>
    <w:rsid w:val="00525DED"/>
    <w:rsid w:val="00577A8E"/>
    <w:rsid w:val="00590F80"/>
    <w:rsid w:val="005919AF"/>
    <w:rsid w:val="005C2DA5"/>
    <w:rsid w:val="00635289"/>
    <w:rsid w:val="0067165C"/>
    <w:rsid w:val="00673FD7"/>
    <w:rsid w:val="006B1945"/>
    <w:rsid w:val="006E2A34"/>
    <w:rsid w:val="00730D08"/>
    <w:rsid w:val="007501CC"/>
    <w:rsid w:val="007802C7"/>
    <w:rsid w:val="007A684A"/>
    <w:rsid w:val="007B1DCD"/>
    <w:rsid w:val="007C6188"/>
    <w:rsid w:val="007D4310"/>
    <w:rsid w:val="007D44C6"/>
    <w:rsid w:val="007F6B44"/>
    <w:rsid w:val="00814ADB"/>
    <w:rsid w:val="0086043E"/>
    <w:rsid w:val="00895147"/>
    <w:rsid w:val="008A25AC"/>
    <w:rsid w:val="008A6CD3"/>
    <w:rsid w:val="008B377E"/>
    <w:rsid w:val="009054D9"/>
    <w:rsid w:val="00922232"/>
    <w:rsid w:val="00937059"/>
    <w:rsid w:val="00937A7D"/>
    <w:rsid w:val="009526C6"/>
    <w:rsid w:val="00954F26"/>
    <w:rsid w:val="00981CF7"/>
    <w:rsid w:val="00983946"/>
    <w:rsid w:val="00994428"/>
    <w:rsid w:val="009C092B"/>
    <w:rsid w:val="00A066D5"/>
    <w:rsid w:val="00A407C3"/>
    <w:rsid w:val="00A47DCC"/>
    <w:rsid w:val="00A7410C"/>
    <w:rsid w:val="00AA589C"/>
    <w:rsid w:val="00AB73C9"/>
    <w:rsid w:val="00AD657E"/>
    <w:rsid w:val="00AE0B69"/>
    <w:rsid w:val="00B67E0F"/>
    <w:rsid w:val="00B75A6D"/>
    <w:rsid w:val="00BC5340"/>
    <w:rsid w:val="00BC6A70"/>
    <w:rsid w:val="00C06E49"/>
    <w:rsid w:val="00C10FF2"/>
    <w:rsid w:val="00C163AC"/>
    <w:rsid w:val="00C34EBF"/>
    <w:rsid w:val="00C42B69"/>
    <w:rsid w:val="00CC6C1E"/>
    <w:rsid w:val="00D0234C"/>
    <w:rsid w:val="00D11254"/>
    <w:rsid w:val="00DA00CC"/>
    <w:rsid w:val="00DB6AB6"/>
    <w:rsid w:val="00E03157"/>
    <w:rsid w:val="00E04308"/>
    <w:rsid w:val="00E1646C"/>
    <w:rsid w:val="00E33AD7"/>
    <w:rsid w:val="00E50345"/>
    <w:rsid w:val="00E5712D"/>
    <w:rsid w:val="00E66DCC"/>
    <w:rsid w:val="00EA3D8D"/>
    <w:rsid w:val="00EB0923"/>
    <w:rsid w:val="00F26407"/>
    <w:rsid w:val="00F41F33"/>
    <w:rsid w:val="00F43D58"/>
    <w:rsid w:val="00F9148C"/>
    <w:rsid w:val="00F91AC5"/>
    <w:rsid w:val="00F964B1"/>
    <w:rsid w:val="5C3B7AAE"/>
    <w:rsid w:val="6CD317F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Body Text Indent"/>
    <w:basedOn w:val="1"/>
    <w:link w:val="9"/>
    <w:uiPriority w:val="0"/>
    <w:pPr>
      <w:spacing w:line="360" w:lineRule="atLeast"/>
      <w:ind w:firstLine="420" w:firstLineChars="200"/>
    </w:pPr>
    <w:rPr>
      <w:rFonts w:ascii="仿宋_GB2312"/>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8">
    <w:name w:val="Normal"/>
    <w:uiPriority w:val="0"/>
    <w:pPr>
      <w:widowControl w:val="0"/>
      <w:adjustRightInd w:val="0"/>
      <w:spacing w:line="360" w:lineRule="atLeast"/>
      <w:textAlignment w:val="baseline"/>
    </w:pPr>
    <w:rPr>
      <w:rFonts w:ascii="宋体"/>
      <w:sz w:val="24"/>
      <w:lang w:val="en-US" w:eastAsia="zh-CN" w:bidi="ar-SA"/>
    </w:rPr>
  </w:style>
  <w:style w:type="character" w:customStyle="1" w:styleId="9">
    <w:name w:val="正文文本缩进 Char"/>
    <w:link w:val="2"/>
    <w:uiPriority w:val="0"/>
    <w:rPr>
      <w:rFonts w:ascii="仿宋_GB2312"/>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157</Words>
  <Characters>900</Characters>
  <Lines>7</Lines>
  <Paragraphs>2</Paragraphs>
  <TotalTime>0</TotalTime>
  <ScaleCrop>false</ScaleCrop>
  <LinksUpToDate>false</LinksUpToDate>
  <CharactersWithSpaces>1055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2014-07-03T23:59:00Z</dcterms:created>
  <dc:creator>USER</dc:creator>
  <cp:lastModifiedBy>vertesyuan</cp:lastModifiedBy>
  <cp:lastPrinted>2014-07-04T00:55:00Z</cp:lastPrinted>
  <dcterms:modified xsi:type="dcterms:W3CDTF">2024-10-12T07:47:23Z</dcterms:modified>
  <dc:title>2011年硕士研究生入学考试专业课考试大纲</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1BB49F2EB3F24412B892F1BA512C0934_13</vt:lpwstr>
  </property>
</Properties>
</file>