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6" w:lineRule="auto"/>
        <w:rPr>
          <w:rFonts w:ascii="Arial"/>
          <w:sz w:val="21"/>
        </w:rPr>
      </w:pPr>
      <w:r/>
    </w:p>
    <w:p>
      <w:pPr>
        <w:ind w:left="2694"/>
        <w:spacing w:before="150" w:line="354" w:lineRule="exact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Arial" w:hAnsi="Arial" w:eastAsia="Arial" w:cs="Arial"/>
          <w:sz w:val="35"/>
          <w:szCs w:val="35"/>
          <w:spacing w:val="1"/>
          <w:position w:val="-2"/>
        </w:rPr>
        <w:t>434</w:t>
      </w:r>
      <w:r>
        <w:rPr>
          <w:rFonts w:ascii="Arial" w:hAnsi="Arial" w:eastAsia="Arial" w:cs="Arial"/>
          <w:sz w:val="35"/>
          <w:szCs w:val="35"/>
          <w:spacing w:val="3"/>
          <w:position w:val="-2"/>
        </w:rPr>
        <w:t xml:space="preserve">  </w:t>
      </w:r>
      <w:r>
        <w:rPr>
          <w:rFonts w:ascii="Microsoft YaHei" w:hAnsi="Microsoft YaHei" w:eastAsia="Microsoft YaHei" w:cs="Microsoft YaHei"/>
          <w:sz w:val="35"/>
          <w:szCs w:val="35"/>
          <w:spacing w:val="1"/>
          <w:position w:val="-2"/>
        </w:rPr>
        <w:t>国际商务专业基础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570"/>
        <w:spacing w:before="143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1.</w:t>
      </w:r>
      <w:r>
        <w:rPr>
          <w:b/>
          <w:bCs/>
          <w:spacing w:val="-5"/>
        </w:rPr>
        <w:t>考试性质</w:t>
      </w:r>
    </w:p>
    <w:p>
      <w:pPr>
        <w:pStyle w:val="BodyText"/>
        <w:ind w:left="1" w:firstLine="563"/>
        <w:spacing w:before="146" w:line="303" w:lineRule="auto"/>
        <w:rPr/>
      </w:pPr>
      <w:r>
        <w:rPr>
          <w:spacing w:val="-1"/>
        </w:rPr>
        <w:t>《国际商务专业基础》是全国国际商务专业硕士入学初试考试的专业</w:t>
      </w:r>
      <w:r>
        <w:rPr>
          <w:spacing w:val="16"/>
        </w:rPr>
        <w:t xml:space="preserve"> </w:t>
      </w:r>
      <w:r>
        <w:rPr>
          <w:spacing w:val="-2"/>
        </w:rPr>
        <w:t>基础课程。</w:t>
      </w:r>
    </w:p>
    <w:p>
      <w:pPr>
        <w:pStyle w:val="BodyText"/>
        <w:ind w:left="558"/>
        <w:spacing w:before="39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2.</w:t>
      </w:r>
      <w:r>
        <w:rPr>
          <w:b/>
          <w:bCs/>
          <w:spacing w:val="-3"/>
        </w:rPr>
        <w:t>考试目标</w:t>
      </w:r>
    </w:p>
    <w:p>
      <w:pPr>
        <w:pStyle w:val="BodyText"/>
        <w:ind w:firstLine="563"/>
        <w:spacing w:before="145" w:line="311" w:lineRule="auto"/>
        <w:jc w:val="both"/>
        <w:rPr/>
      </w:pPr>
      <w:r>
        <w:rPr>
          <w:spacing w:val="-1"/>
        </w:rPr>
        <w:t>本考试大纲的制定力求反映国际商务硕士专业学位的特点，科学、公</w:t>
      </w:r>
      <w:r>
        <w:rPr>
          <w:spacing w:val="16"/>
        </w:rPr>
        <w:t xml:space="preserve"> </w:t>
      </w:r>
      <w:r>
        <w:rPr/>
        <w:t>平、准确、规范地测评考生专业基础素质和综合能</w:t>
      </w:r>
      <w:r>
        <w:rPr>
          <w:spacing w:val="-1"/>
        </w:rPr>
        <w:t>力，以利于选拔具有发</w:t>
      </w:r>
      <w:r>
        <w:rPr/>
        <w:t xml:space="preserve"> </w:t>
      </w:r>
      <w:r>
        <w:rPr/>
        <w:t>展潜力的优秀人才入学，为国家开放型经济体系建</w:t>
      </w:r>
      <w:r>
        <w:rPr>
          <w:spacing w:val="-1"/>
        </w:rPr>
        <w:t>设培养具有良好职业操</w:t>
      </w:r>
      <w:r>
        <w:rPr/>
        <w:t xml:space="preserve"> </w:t>
      </w:r>
      <w:r>
        <w:rPr/>
        <w:t>守和国际视野、具有较强跨文化沟通以及分析与解</w:t>
      </w:r>
      <w:r>
        <w:rPr>
          <w:spacing w:val="-1"/>
        </w:rPr>
        <w:t>决实际问题能力的高层</w:t>
      </w:r>
      <w:r>
        <w:rPr/>
        <w:t xml:space="preserve"> </w:t>
      </w:r>
      <w:r>
        <w:rPr>
          <w:spacing w:val="-1"/>
        </w:rPr>
        <w:t>次、应用型、复合型国际商务专业人才。</w:t>
      </w:r>
    </w:p>
    <w:p>
      <w:pPr>
        <w:pStyle w:val="BodyText"/>
        <w:ind w:firstLine="568"/>
        <w:spacing w:before="44" w:line="307" w:lineRule="auto"/>
        <w:jc w:val="both"/>
        <w:rPr/>
      </w:pPr>
      <w:r>
        <w:rPr>
          <w:spacing w:val="-1"/>
        </w:rPr>
        <w:t>具体考察考生对国际贸易理论与政策、国际金融、企业国际化与经济</w:t>
      </w:r>
      <w:r>
        <w:rPr>
          <w:spacing w:val="12"/>
        </w:rPr>
        <w:t xml:space="preserve"> </w:t>
      </w:r>
      <w:r>
        <w:rPr/>
        <w:t>一体化、国际商务环境与运营等国际商务相关的基</w:t>
      </w:r>
      <w:r>
        <w:rPr>
          <w:spacing w:val="-1"/>
        </w:rPr>
        <w:t>本概念、基本理论、基</w:t>
      </w:r>
      <w:r>
        <w:rPr/>
        <w:t xml:space="preserve"> </w:t>
      </w:r>
      <w:r>
        <w:rPr/>
        <w:t>础知识的掌握情况以及综合运用分析和解决国</w:t>
      </w:r>
      <w:r>
        <w:rPr>
          <w:spacing w:val="-1"/>
        </w:rPr>
        <w:t>际商务现实问题的能力。</w:t>
      </w:r>
    </w:p>
    <w:p>
      <w:pPr>
        <w:ind w:left="567"/>
        <w:spacing w:before="4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62"/>
        <w:spacing w:before="143" w:line="221" w:lineRule="auto"/>
        <w:rPr/>
      </w:pPr>
      <w:r>
        <w:rPr>
          <w:b/>
          <w:bCs/>
          <w:spacing w:val="-3"/>
        </w:rPr>
        <w:t>第一部分：国际贸易理论与政策</w:t>
      </w:r>
    </w:p>
    <w:p>
      <w:pPr>
        <w:pStyle w:val="BodyText"/>
        <w:ind w:left="584"/>
        <w:spacing w:before="146" w:line="221" w:lineRule="auto"/>
        <w:rPr/>
      </w:pPr>
      <w:r>
        <w:rPr>
          <w:rFonts w:ascii="Times New Roman" w:hAnsi="Times New Roman" w:eastAsia="Times New Roman" w:cs="Times New Roman"/>
          <w:spacing w:val="-9"/>
        </w:rPr>
        <w:t>1.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9"/>
        </w:rPr>
        <w:t>国际贸易理论</w:t>
      </w:r>
    </w:p>
    <w:p>
      <w:pPr>
        <w:pStyle w:val="BodyText"/>
        <w:ind w:left="570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）古典和新古典国际贸易理论</w:t>
      </w:r>
    </w:p>
    <w:p>
      <w:pPr>
        <w:pStyle w:val="BodyText"/>
        <w:ind w:left="570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）新国际贸易理论</w:t>
      </w:r>
    </w:p>
    <w:p>
      <w:pPr>
        <w:pStyle w:val="BodyText"/>
        <w:ind w:left="557" w:right="4898" w:firstLine="13"/>
        <w:spacing w:before="144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）企业异质性与国际贸易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4"/>
        </w:rPr>
        <w:t>国际直接投资与跨国公司</w:t>
      </w:r>
    </w:p>
    <w:p>
      <w:pPr>
        <w:pStyle w:val="BodyText"/>
        <w:ind w:left="570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）国际直接投资与跨国公司理论</w:t>
      </w:r>
    </w:p>
    <w:p>
      <w:pPr>
        <w:pStyle w:val="BodyText"/>
        <w:ind w:left="570"/>
        <w:spacing w:before="143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）水平与垂直型对外直接投资</w:t>
      </w:r>
    </w:p>
    <w:p>
      <w:pPr>
        <w:pStyle w:val="BodyText"/>
        <w:ind w:left="570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）跨国公司发展及其主要类型</w:t>
      </w:r>
    </w:p>
    <w:p>
      <w:pPr>
        <w:pStyle w:val="BodyText"/>
        <w:ind w:left="563" w:right="5459" w:firstLine="7"/>
        <w:spacing w:before="145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）国际直接投资管理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3.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7"/>
        </w:rPr>
        <w:t>国际贸易政策</w:t>
      </w:r>
    </w:p>
    <w:p>
      <w:pPr>
        <w:spacing w:line="269" w:lineRule="auto"/>
        <w:sectPr>
          <w:footerReference w:type="default" r:id="rId1"/>
          <w:pgSz w:w="12070" w:h="16950"/>
          <w:pgMar w:top="1440" w:right="1521" w:bottom="1945" w:left="1596" w:header="0" w:footer="1729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356"/>
        <w:spacing w:before="91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）关税政策</w:t>
      </w:r>
    </w:p>
    <w:p>
      <w:pPr>
        <w:pStyle w:val="BodyText"/>
        <w:ind w:left="356"/>
        <w:spacing w:before="14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）非关税政策</w:t>
      </w:r>
    </w:p>
    <w:p>
      <w:pPr>
        <w:pStyle w:val="BodyText"/>
        <w:ind w:left="356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）策略性贸易政策与贸易制裁</w:t>
      </w:r>
    </w:p>
    <w:p>
      <w:pPr>
        <w:pStyle w:val="BodyText"/>
        <w:ind w:left="356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）区域经济一体化与多边贸易体制</w:t>
      </w:r>
    </w:p>
    <w:p>
      <w:pPr>
        <w:pStyle w:val="BodyText"/>
        <w:ind w:left="348"/>
        <w:spacing w:before="143" w:line="221" w:lineRule="auto"/>
        <w:rPr/>
      </w:pPr>
      <w:r>
        <w:rPr>
          <w:b/>
          <w:bCs/>
          <w:spacing w:val="-4"/>
        </w:rPr>
        <w:t>第二部分：国际金融</w:t>
      </w:r>
    </w:p>
    <w:p>
      <w:pPr>
        <w:pStyle w:val="BodyText"/>
        <w:ind w:left="341"/>
        <w:spacing w:before="146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4.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4"/>
        </w:rPr>
        <w:t>国际货币体系与汇率制度</w:t>
      </w:r>
    </w:p>
    <w:p>
      <w:pPr>
        <w:pStyle w:val="BodyText"/>
        <w:ind w:left="356"/>
        <w:spacing w:before="146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）金本位制度</w:t>
      </w:r>
    </w:p>
    <w:p>
      <w:pPr>
        <w:pStyle w:val="BodyText"/>
        <w:ind w:left="356"/>
        <w:spacing w:before="14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）布雷顿森林体系</w:t>
      </w:r>
    </w:p>
    <w:p>
      <w:pPr>
        <w:pStyle w:val="BodyText"/>
        <w:ind w:left="356"/>
        <w:spacing w:before="146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）浮动汇率制度</w:t>
      </w:r>
    </w:p>
    <w:p>
      <w:pPr>
        <w:pStyle w:val="BodyText"/>
        <w:ind w:left="356"/>
        <w:spacing w:before="14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）国际货币体系及其改革</w:t>
      </w:r>
    </w:p>
    <w:p>
      <w:pPr>
        <w:pStyle w:val="BodyText"/>
        <w:ind w:left="356"/>
        <w:spacing w:before="147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）人民币汇率改革</w:t>
      </w:r>
    </w:p>
    <w:p>
      <w:pPr>
        <w:pStyle w:val="BodyText"/>
        <w:ind w:left="350"/>
        <w:spacing w:before="146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spacing w:val="-1"/>
        </w:rPr>
        <w:t>外汇市场、外汇业务与风险</w:t>
      </w:r>
    </w:p>
    <w:p>
      <w:pPr>
        <w:pStyle w:val="BodyText"/>
        <w:ind w:left="356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）外汇市场与外汇业务</w:t>
      </w:r>
    </w:p>
    <w:p>
      <w:pPr>
        <w:pStyle w:val="BodyText"/>
        <w:ind w:left="356"/>
        <w:spacing w:before="14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）汇率决定</w:t>
      </w:r>
    </w:p>
    <w:p>
      <w:pPr>
        <w:pStyle w:val="BodyText"/>
        <w:ind w:left="349" w:right="6222" w:firstLine="6"/>
        <w:spacing w:before="144" w:line="26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）外汇风险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6.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7"/>
        </w:rPr>
        <w:t>国际金融市场</w:t>
      </w:r>
    </w:p>
    <w:p>
      <w:pPr>
        <w:pStyle w:val="BodyText"/>
        <w:ind w:left="356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）国际金融市场概述</w:t>
      </w:r>
    </w:p>
    <w:p>
      <w:pPr>
        <w:pStyle w:val="BodyText"/>
        <w:ind w:left="356"/>
        <w:spacing w:before="145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）货币市场</w:t>
      </w:r>
    </w:p>
    <w:p>
      <w:pPr>
        <w:pStyle w:val="BodyText"/>
        <w:ind w:left="356"/>
        <w:spacing w:before="146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）债券市场</w:t>
      </w:r>
    </w:p>
    <w:p>
      <w:pPr>
        <w:pStyle w:val="BodyText"/>
        <w:ind w:left="356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）股权市场</w:t>
      </w:r>
    </w:p>
    <w:p>
      <w:pPr>
        <w:pStyle w:val="BodyText"/>
        <w:ind w:left="348"/>
        <w:spacing w:before="145" w:line="221" w:lineRule="auto"/>
        <w:rPr/>
      </w:pPr>
      <w:r>
        <w:rPr>
          <w:b/>
          <w:bCs/>
          <w:spacing w:val="-3"/>
        </w:rPr>
        <w:t>第三部分：国际商务环境与战略</w:t>
      </w:r>
    </w:p>
    <w:p>
      <w:pPr>
        <w:pStyle w:val="BodyText"/>
        <w:ind w:left="347"/>
        <w:spacing w:before="145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7.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6"/>
        </w:rPr>
        <w:t>国际商务环境</w:t>
      </w:r>
    </w:p>
    <w:p>
      <w:pPr>
        <w:pStyle w:val="BodyText"/>
        <w:ind w:left="356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）国际商务文化环境</w:t>
      </w:r>
    </w:p>
    <w:p>
      <w:pPr>
        <w:pStyle w:val="BodyText"/>
        <w:ind w:left="354" w:right="4609" w:firstLine="1"/>
        <w:spacing w:before="144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）政治、法律和商业伦理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8.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7"/>
        </w:rPr>
        <w:t>国际市场营销</w:t>
      </w:r>
    </w:p>
    <w:p>
      <w:pPr>
        <w:pStyle w:val="BodyText"/>
        <w:ind w:left="356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）国际市场营销环境</w:t>
      </w:r>
    </w:p>
    <w:p>
      <w:pPr>
        <w:pStyle w:val="BodyText"/>
        <w:ind w:left="356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）国际目标市场选择</w:t>
      </w:r>
    </w:p>
    <w:p>
      <w:pPr>
        <w:spacing w:line="221" w:lineRule="auto"/>
        <w:sectPr>
          <w:footerReference w:type="default" r:id="rId2"/>
          <w:pgSz w:w="12070" w:h="16950"/>
          <w:pgMar w:top="1440" w:right="1810" w:bottom="1945" w:left="1810" w:header="0" w:footer="1729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356"/>
        <w:spacing w:before="91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）国际市场进入方式</w:t>
      </w:r>
    </w:p>
    <w:p>
      <w:pPr>
        <w:pStyle w:val="BodyText"/>
        <w:ind w:left="348" w:right="5171" w:firstLine="7"/>
        <w:spacing w:before="145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）国际市场营销策略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9.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6"/>
        </w:rPr>
        <w:t>国际企业的战略</w:t>
      </w:r>
    </w:p>
    <w:p>
      <w:pPr>
        <w:pStyle w:val="BodyText"/>
        <w:ind w:left="356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）企业国际化的动因</w:t>
      </w:r>
    </w:p>
    <w:p>
      <w:pPr>
        <w:pStyle w:val="BodyText"/>
        <w:ind w:left="356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）企业国际化战略</w:t>
      </w:r>
    </w:p>
    <w:p>
      <w:pPr>
        <w:pStyle w:val="BodyText"/>
        <w:ind w:left="356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）企业国际市场进入模式及特征</w:t>
      </w:r>
    </w:p>
    <w:p>
      <w:pPr>
        <w:pStyle w:val="BodyText"/>
        <w:ind w:left="356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）国际市场进入模式选择的影响因素</w:t>
      </w:r>
    </w:p>
    <w:p>
      <w:pPr>
        <w:pStyle w:val="BodyText"/>
        <w:ind w:left="369" w:right="5171" w:hanging="13"/>
        <w:spacing w:before="146" w:line="268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）国际化的组织决策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10.</w:t>
      </w:r>
      <w:r>
        <w:rPr>
          <w:spacing w:val="-4"/>
        </w:rPr>
        <w:t>物流与供应链管理</w:t>
      </w:r>
    </w:p>
    <w:p>
      <w:pPr>
        <w:pStyle w:val="BodyText"/>
        <w:ind w:left="356"/>
        <w:spacing w:before="147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）国际物流定义与问题</w:t>
      </w:r>
    </w:p>
    <w:p>
      <w:pPr>
        <w:pStyle w:val="BodyText"/>
        <w:ind w:left="369" w:right="4609" w:hanging="13"/>
        <w:spacing w:before="145" w:line="268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）国际物流与供应链管理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11.</w:t>
      </w:r>
      <w:r>
        <w:rPr>
          <w:spacing w:val="-5"/>
        </w:rPr>
        <w:t>会计与税收</w:t>
      </w:r>
    </w:p>
    <w:p>
      <w:pPr>
        <w:pStyle w:val="BodyText"/>
        <w:ind w:left="356"/>
        <w:spacing w:before="147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）跨国间主要会计差异</w:t>
      </w:r>
    </w:p>
    <w:p>
      <w:pPr>
        <w:pStyle w:val="BodyText"/>
        <w:ind w:left="369" w:right="6083" w:hanging="13"/>
        <w:spacing w:before="145" w:line="26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）国际税收</w:t>
      </w:r>
      <w:r>
        <w:rPr>
          <w:spacing w:val="1"/>
        </w:rPr>
        <w:t xml:space="preserve">  </w:t>
      </w:r>
      <w:r>
        <w:rPr>
          <w:rFonts w:ascii="Times New Roman" w:hAnsi="Times New Roman" w:eastAsia="Times New Roman" w:cs="Times New Roman"/>
          <w:spacing w:val="-4"/>
        </w:rPr>
        <w:t>12.</w:t>
      </w:r>
      <w:r>
        <w:rPr>
          <w:spacing w:val="-4"/>
        </w:rPr>
        <w:t>商务纠纷解决</w:t>
      </w:r>
    </w:p>
    <w:p>
      <w:pPr>
        <w:pStyle w:val="BodyText"/>
        <w:ind w:left="356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）私人争议的解决</w:t>
      </w:r>
    </w:p>
    <w:p>
      <w:pPr>
        <w:pStyle w:val="BodyText"/>
        <w:ind w:left="356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）国家间争端的解决</w:t>
      </w:r>
    </w:p>
    <w:p>
      <w:pPr>
        <w:ind w:left="354"/>
        <w:spacing w:before="145" w:line="222" w:lineRule="auto"/>
        <w:outlineLvl w:val="2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349"/>
        <w:spacing w:before="144" w:line="220" w:lineRule="auto"/>
        <w:rPr/>
      </w:pPr>
      <w:r>
        <w:rPr>
          <w:spacing w:val="-4"/>
        </w:rPr>
        <w:t>本考试为闭卷考试，满分为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</w:p>
    <w:p>
      <w:pPr>
        <w:ind w:left="365"/>
        <w:spacing w:before="14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四、题型及分值</w:t>
      </w:r>
    </w:p>
    <w:p>
      <w:pPr>
        <w:pStyle w:val="BodyText"/>
        <w:ind w:left="343" w:right="5670" w:firstLine="26"/>
        <w:spacing w:before="143" w:line="303" w:lineRule="auto"/>
        <w:rPr/>
      </w:pPr>
      <w:r>
        <w:rPr>
          <w:rFonts w:ascii="Times New Roman" w:hAnsi="Times New Roman" w:eastAsia="Times New Roman" w:cs="Times New Roman"/>
          <w:spacing w:val="-10"/>
        </w:rPr>
        <w:t>1.</w:t>
      </w:r>
      <w:r>
        <w:rPr>
          <w:spacing w:val="-10"/>
        </w:rPr>
        <w:t>名词解释，</w:t>
      </w:r>
      <w:r>
        <w:rPr>
          <w:rFonts w:ascii="Times New Roman" w:hAnsi="Times New Roman" w:eastAsia="Times New Roman" w:cs="Times New Roman"/>
          <w:spacing w:val="-10"/>
        </w:rPr>
        <w:t>20 </w:t>
      </w:r>
      <w:r>
        <w:rPr>
          <w:spacing w:val="-10"/>
        </w:rPr>
        <w:t>分；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选择题，</w:t>
      </w:r>
      <w:r>
        <w:rPr>
          <w:rFonts w:ascii="Times New Roman" w:hAnsi="Times New Roman" w:eastAsia="Times New Roman" w:cs="Times New Roman"/>
          <w:spacing w:val="-2"/>
        </w:rPr>
        <w:t>20 </w:t>
      </w:r>
      <w:r>
        <w:rPr>
          <w:spacing w:val="-2"/>
        </w:rPr>
        <w:t>分；</w:t>
      </w:r>
    </w:p>
    <w:p>
      <w:pPr>
        <w:pStyle w:val="BodyText"/>
        <w:ind w:left="341" w:right="5949" w:firstLine="7"/>
        <w:spacing w:before="42" w:line="307" w:lineRule="auto"/>
        <w:rPr/>
      </w:pPr>
      <w:r>
        <w:rPr>
          <w:rFonts w:ascii="Times New Roman" w:hAnsi="Times New Roman" w:eastAsia="Times New Roman" w:cs="Times New Roman"/>
          <w:spacing w:val="-9"/>
        </w:rPr>
        <w:t>3.</w:t>
      </w:r>
      <w:r>
        <w:rPr>
          <w:spacing w:val="-9"/>
        </w:rPr>
        <w:t>判断题，</w:t>
      </w:r>
      <w:r>
        <w:rPr>
          <w:rFonts w:ascii="Times New Roman" w:hAnsi="Times New Roman" w:eastAsia="Times New Roman" w:cs="Times New Roman"/>
          <w:spacing w:val="-9"/>
        </w:rPr>
        <w:t>20 </w:t>
      </w:r>
      <w:r>
        <w:rPr>
          <w:spacing w:val="-9"/>
        </w:rPr>
        <w:t>分；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4.</w:t>
      </w:r>
      <w:r>
        <w:rPr>
          <w:spacing w:val="-8"/>
        </w:rPr>
        <w:t>简答题，</w:t>
      </w:r>
      <w:r>
        <w:rPr>
          <w:rFonts w:ascii="Times New Roman" w:hAnsi="Times New Roman" w:eastAsia="Times New Roman" w:cs="Times New Roman"/>
          <w:spacing w:val="-8"/>
        </w:rPr>
        <w:t>40 </w:t>
      </w:r>
      <w:r>
        <w:rPr>
          <w:spacing w:val="-8"/>
        </w:rPr>
        <w:t>分；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5.</w:t>
      </w:r>
      <w:r>
        <w:rPr>
          <w:spacing w:val="-8"/>
        </w:rPr>
        <w:t>计算题，</w:t>
      </w:r>
      <w:r>
        <w:rPr>
          <w:rFonts w:ascii="Times New Roman" w:hAnsi="Times New Roman" w:eastAsia="Times New Roman" w:cs="Times New Roman"/>
          <w:spacing w:val="-8"/>
        </w:rPr>
        <w:t>20 </w:t>
      </w:r>
      <w:r>
        <w:rPr>
          <w:spacing w:val="-8"/>
        </w:rPr>
        <w:t>分；</w:t>
      </w:r>
    </w:p>
    <w:p>
      <w:pPr>
        <w:pStyle w:val="BodyText"/>
        <w:ind w:left="349"/>
        <w:spacing w:before="42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6.</w:t>
      </w:r>
      <w:r>
        <w:rPr>
          <w:spacing w:val="-3"/>
        </w:rPr>
        <w:t>综合分析题，</w:t>
      </w:r>
      <w:r>
        <w:rPr>
          <w:rFonts w:ascii="Times New Roman" w:hAnsi="Times New Roman" w:eastAsia="Times New Roman" w:cs="Times New Roman"/>
          <w:spacing w:val="-3"/>
        </w:rPr>
        <w:t>30 </w:t>
      </w:r>
      <w:r>
        <w:rPr>
          <w:spacing w:val="-3"/>
        </w:rPr>
        <w:t>分。</w:t>
      </w:r>
    </w:p>
    <w:p>
      <w:pPr>
        <w:ind w:left="356"/>
        <w:spacing w:before="144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spacing w:line="223" w:lineRule="auto"/>
        <w:sectPr>
          <w:footerReference w:type="default" r:id="rId3"/>
          <w:pgSz w:w="12070" w:h="16950"/>
          <w:pgMar w:top="1440" w:right="1810" w:bottom="1945" w:left="1810" w:header="0" w:footer="1729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firstLine="582"/>
        <w:spacing w:before="91" w:line="303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《国际商务》，钱晓英等，对外经济贸易大学出版社，</w:t>
      </w:r>
      <w:r>
        <w:rPr>
          <w:rFonts w:ascii="Times New Roman" w:hAnsi="Times New Roman" w:eastAsia="Times New Roman" w:cs="Times New Roman"/>
          <w:spacing w:val="-2"/>
        </w:rPr>
        <w:t>2013 </w:t>
      </w:r>
      <w:r>
        <w:rPr>
          <w:spacing w:val="-2"/>
        </w:rPr>
        <w:t>年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7 </w:t>
      </w:r>
      <w:r>
        <w:rPr>
          <w:spacing w:val="-3"/>
        </w:rPr>
        <w:t>月</w:t>
      </w:r>
      <w:r>
        <w:rPr/>
        <w:t xml:space="preserve"> </w:t>
      </w:r>
      <w:r>
        <w:rPr>
          <w:spacing w:val="-6"/>
        </w:rPr>
        <w:t>版；</w:t>
      </w:r>
    </w:p>
    <w:p>
      <w:pPr>
        <w:pStyle w:val="BodyText"/>
        <w:ind w:left="555"/>
        <w:spacing w:before="39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《国际经济学：理论与政策》（第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11 </w:t>
      </w:r>
      <w:r>
        <w:rPr>
          <w:spacing w:val="-3"/>
        </w:rPr>
        <w:t>版</w:t>
      </w:r>
      <w:r>
        <w:rPr>
          <w:spacing w:val="8"/>
        </w:rPr>
        <w:t>），</w:t>
      </w:r>
      <w:r>
        <w:rPr>
          <w:spacing w:val="-3"/>
        </w:rPr>
        <w:t>克鲁格曼，中国人民</w:t>
      </w:r>
    </w:p>
    <w:p>
      <w:pPr>
        <w:pStyle w:val="BodyText"/>
        <w:ind w:left="2"/>
        <w:spacing w:before="144" w:line="221" w:lineRule="auto"/>
        <w:rPr/>
      </w:pPr>
      <w:r>
        <w:rPr>
          <w:spacing w:val="-5"/>
        </w:rPr>
        <w:t>大学出版社，</w:t>
      </w:r>
      <w:r>
        <w:rPr>
          <w:rFonts w:ascii="Times New Roman" w:hAnsi="Times New Roman" w:eastAsia="Times New Roman" w:cs="Times New Roman"/>
          <w:spacing w:val="-5"/>
        </w:rPr>
        <w:t>2021 </w:t>
      </w:r>
      <w:r>
        <w:rPr>
          <w:spacing w:val="-5"/>
        </w:rPr>
        <w:t>年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 </w:t>
      </w:r>
      <w:r>
        <w:rPr>
          <w:spacing w:val="-5"/>
        </w:rPr>
        <w:t>月版；</w:t>
      </w:r>
    </w:p>
    <w:p>
      <w:pPr>
        <w:pStyle w:val="BodyText"/>
        <w:ind w:left="554" w:right="624" w:firstLine="7"/>
        <w:spacing w:before="145" w:line="303" w:lineRule="auto"/>
        <w:rPr/>
      </w:pPr>
      <w:r>
        <w:rPr>
          <w:rFonts w:ascii="Times New Roman" w:hAnsi="Times New Roman" w:eastAsia="Times New Roman" w:cs="Times New Roman"/>
          <w:spacing w:val="-4"/>
        </w:rPr>
        <w:t>3.</w:t>
      </w:r>
      <w:r>
        <w:rPr>
          <w:spacing w:val="-4"/>
        </w:rPr>
        <w:t>《国际商务》，王炜瀚等，机械工业出版社，</w:t>
      </w:r>
      <w:r>
        <w:rPr>
          <w:rFonts w:ascii="Times New Roman" w:hAnsi="Times New Roman" w:eastAsia="Times New Roman" w:cs="Times New Roman"/>
          <w:spacing w:val="-4"/>
        </w:rPr>
        <w:t>2019 </w:t>
      </w:r>
      <w:r>
        <w:rPr>
          <w:spacing w:val="-4"/>
        </w:rPr>
        <w:t>年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 </w:t>
      </w:r>
      <w:r>
        <w:rPr>
          <w:spacing w:val="-4"/>
        </w:rPr>
        <w:t>月版；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4.</w:t>
      </w:r>
      <w:r>
        <w:rPr>
          <w:spacing w:val="-3"/>
        </w:rPr>
        <w:t>《国际贸易学》，余淼杰，北京大学出版社，</w:t>
      </w:r>
      <w:r>
        <w:rPr>
          <w:rFonts w:ascii="Times New Roman" w:hAnsi="Times New Roman" w:eastAsia="Times New Roman" w:cs="Times New Roman"/>
          <w:spacing w:val="-4"/>
        </w:rPr>
        <w:t>2021 </w:t>
      </w:r>
      <w:r>
        <w:rPr>
          <w:spacing w:val="-4"/>
        </w:rPr>
        <w:t>年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 </w:t>
      </w:r>
      <w:r>
        <w:rPr>
          <w:spacing w:val="-4"/>
        </w:rPr>
        <w:t>月版；</w:t>
      </w:r>
    </w:p>
    <w:p>
      <w:pPr>
        <w:pStyle w:val="BodyText"/>
        <w:ind w:firstLine="563"/>
        <w:spacing w:before="42" w:line="303" w:lineRule="auto"/>
        <w:rPr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《国际金融》，吴志明、杨胜刚等，高等教育出版社，</w:t>
      </w:r>
      <w:r>
        <w:rPr>
          <w:rFonts w:ascii="Times New Roman" w:hAnsi="Times New Roman" w:eastAsia="Times New Roman" w:cs="Times New Roman"/>
          <w:spacing w:val="-2"/>
        </w:rPr>
        <w:t>2021 </w:t>
      </w:r>
      <w:r>
        <w:rPr>
          <w:spacing w:val="-2"/>
        </w:rPr>
        <w:t>年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8 </w:t>
      </w:r>
      <w:r>
        <w:rPr>
          <w:spacing w:val="-2"/>
        </w:rPr>
        <w:t>月</w:t>
      </w:r>
      <w:r>
        <w:rPr/>
        <w:t xml:space="preserve"> </w:t>
      </w:r>
      <w:r>
        <w:rPr>
          <w:spacing w:val="-6"/>
        </w:rPr>
        <w:t>版。</w:t>
      </w:r>
    </w:p>
    <w:sectPr>
      <w:footerReference w:type="default" r:id="rId4"/>
      <w:pgSz w:w="12070" w:h="16950"/>
      <w:pgMar w:top="1440" w:right="1550" w:bottom="1945" w:left="1598" w:header="0" w:footer="172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0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6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2024-09-25T10:09:04Z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2024-10-11T22:43:58</vt:filetime>
  </property>
</Properties>
</file>