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46679">
      <w:pPr>
        <w:snapToGrid w:val="0"/>
        <w:spacing w:line="480" w:lineRule="auto"/>
        <w:jc w:val="center"/>
        <w:rPr>
          <w:color w:val="0000FF"/>
          <w:sz w:val="36"/>
          <w:szCs w:val="36"/>
        </w:rPr>
      </w:pPr>
      <w:bookmarkStart w:id="0" w:name="_GoBack"/>
      <w:bookmarkEnd w:id="0"/>
      <w:r>
        <w:rPr>
          <w:color w:val="0000FF"/>
          <w:sz w:val="36"/>
          <w:szCs w:val="36"/>
        </w:rPr>
        <w:t>基因工程考试大纲</w:t>
      </w:r>
    </w:p>
    <w:p w14:paraId="2F2078A0">
      <w:pPr>
        <w:spacing w:line="360" w:lineRule="auto"/>
        <w:rPr>
          <w:sz w:val="24"/>
        </w:rPr>
      </w:pPr>
      <w:r>
        <w:rPr>
          <w:sz w:val="24"/>
        </w:rPr>
        <w:t>一、基本目标与要求</w:t>
      </w:r>
    </w:p>
    <w:p w14:paraId="48F5C1E0">
      <w:pPr>
        <w:pStyle w:val="2"/>
        <w:numPr>
          <w:ilvl w:val="0"/>
          <w:numId w:val="1"/>
        </w:numPr>
        <w:spacing w:line="360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理解基因的概念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与基本特征</w:t>
      </w:r>
      <w:r>
        <w:rPr>
          <w:rFonts w:ascii="Times New Roman" w:hAnsi="Times New Roman" w:cs="Times New Roman"/>
          <w:color w:val="000000"/>
          <w:sz w:val="24"/>
          <w:szCs w:val="24"/>
        </w:rPr>
        <w:t>，掌</w:t>
      </w:r>
      <w:r>
        <w:rPr>
          <w:rFonts w:ascii="Times New Roman" w:hAnsi="Times New Roman" w:cs="Times New Roman"/>
          <w:sz w:val="24"/>
          <w:szCs w:val="24"/>
        </w:rPr>
        <w:t>握</w:t>
      </w:r>
      <w:r>
        <w:rPr>
          <w:rFonts w:hint="eastAsia" w:ascii="Times New Roman" w:hAnsi="Times New Roman" w:cs="Times New Roman"/>
          <w:sz w:val="24"/>
          <w:szCs w:val="24"/>
        </w:rPr>
        <w:t>基因工程实现</w:t>
      </w:r>
      <w:r>
        <w:rPr>
          <w:rFonts w:ascii="Times New Roman" w:hAnsi="Times New Roman" w:cs="Times New Roman"/>
          <w:sz w:val="24"/>
          <w:szCs w:val="24"/>
        </w:rPr>
        <w:t>的基本策略</w:t>
      </w:r>
      <w:r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297D6BD4">
      <w:pPr>
        <w:pStyle w:val="1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color w:val="000000"/>
          <w:sz w:val="24"/>
        </w:rPr>
        <w:t>理解和掌握基因</w:t>
      </w:r>
      <w:r>
        <w:rPr>
          <w:rFonts w:hint="eastAsia"/>
          <w:color w:val="000000"/>
          <w:sz w:val="24"/>
        </w:rPr>
        <w:t>工程实施过程涉及的</w:t>
      </w:r>
      <w:r>
        <w:rPr>
          <w:color w:val="000000"/>
          <w:sz w:val="24"/>
        </w:rPr>
        <w:t>工具</w:t>
      </w:r>
      <w:r>
        <w:rPr>
          <w:rFonts w:hint="eastAsia"/>
          <w:color w:val="000000"/>
          <w:sz w:val="24"/>
        </w:rPr>
        <w:t>、方法、和原理</w:t>
      </w:r>
      <w:r>
        <w:rPr>
          <w:color w:val="000000"/>
          <w:sz w:val="24"/>
        </w:rPr>
        <w:t>。</w:t>
      </w:r>
    </w:p>
    <w:p w14:paraId="0FEEE1F9">
      <w:pPr>
        <w:pStyle w:val="2"/>
        <w:numPr>
          <w:ilvl w:val="0"/>
          <w:numId w:val="1"/>
        </w:numPr>
        <w:spacing w:line="360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理解和掌握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基因工程实际</w:t>
      </w:r>
      <w:r>
        <w:rPr>
          <w:rFonts w:ascii="Times New Roman" w:hAnsi="Times New Roman" w:cs="Times New Roman"/>
          <w:color w:val="000000"/>
          <w:sz w:val="24"/>
          <w:szCs w:val="24"/>
        </w:rPr>
        <w:t>操作中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核酸分子的</w:t>
      </w:r>
      <w:r>
        <w:rPr>
          <w:rFonts w:ascii="Times New Roman" w:hAnsi="Times New Roman" w:cs="Times New Roman"/>
          <w:color w:val="000000"/>
          <w:sz w:val="24"/>
          <w:szCs w:val="24"/>
        </w:rPr>
        <w:t>分离纯化和分析技术，掌握各种测序技术的基本原理及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使用策略</w:t>
      </w:r>
      <w:r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31417022">
      <w:pPr>
        <w:pStyle w:val="2"/>
        <w:numPr>
          <w:ilvl w:val="0"/>
          <w:numId w:val="1"/>
        </w:numPr>
        <w:spacing w:line="360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理解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不同类型</w:t>
      </w:r>
      <w:r>
        <w:rPr>
          <w:rFonts w:ascii="Times New Roman" w:hAnsi="Times New Roman" w:cs="Times New Roman"/>
          <w:color w:val="000000"/>
          <w:sz w:val="24"/>
          <w:szCs w:val="24"/>
        </w:rPr>
        <w:t>文库构建的基本原理，掌握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不同</w:t>
      </w:r>
      <w:r>
        <w:rPr>
          <w:rFonts w:ascii="Times New Roman" w:hAnsi="Times New Roman" w:cs="Times New Roman"/>
          <w:color w:val="000000"/>
          <w:sz w:val="24"/>
          <w:szCs w:val="24"/>
        </w:rPr>
        <w:t>文库构建的方法与策略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，及其在基因工程实施过程中的应用。</w:t>
      </w:r>
    </w:p>
    <w:p w14:paraId="4C158B88">
      <w:pPr>
        <w:pStyle w:val="2"/>
        <w:numPr>
          <w:ilvl w:val="0"/>
          <w:numId w:val="1"/>
        </w:numPr>
        <w:spacing w:line="360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理解</w:t>
      </w:r>
      <w:r>
        <w:rPr>
          <w:rFonts w:ascii="Times New Roman" w:hAnsi="Times New Roman" w:cs="Times New Roman"/>
          <w:color w:val="000000"/>
          <w:sz w:val="24"/>
          <w:szCs w:val="24"/>
        </w:rPr>
        <w:t>多种基因组编辑技术的基本原理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，掌握现代基因组工程技术的基本策略</w:t>
      </w:r>
      <w:r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2BE76BA6">
      <w:pPr>
        <w:pStyle w:val="2"/>
        <w:numPr>
          <w:ilvl w:val="0"/>
          <w:numId w:val="1"/>
        </w:numPr>
        <w:spacing w:line="360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了解并掌握基因工程在植物，动物，微生物领域的研究手段和应用现状。</w:t>
      </w:r>
    </w:p>
    <w:p w14:paraId="587E1EE1">
      <w:pPr>
        <w:pStyle w:val="2"/>
        <w:spacing w:line="360" w:lineRule="auto"/>
        <w:ind w:left="420" w:right="17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B8AA0">
      <w:pPr>
        <w:spacing w:line="360" w:lineRule="auto"/>
        <w:rPr>
          <w:sz w:val="24"/>
        </w:rPr>
      </w:pPr>
      <w:r>
        <w:rPr>
          <w:sz w:val="24"/>
        </w:rPr>
        <w:t>二、试题模式及所占比例</w:t>
      </w:r>
    </w:p>
    <w:p w14:paraId="3DDD3FF1">
      <w:pPr>
        <w:pStyle w:val="2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考试总分150分，分概念题和叙述题两个方面，其中概念题占50％，叙述题占50％，概念题包括：选择题（约占20%）、填空题（约占30%）；叙述题包括：简答题（约占20%），问答题（约占30%）。</w:t>
      </w:r>
    </w:p>
    <w:p w14:paraId="2399B6A0">
      <w:pPr>
        <w:spacing w:line="360" w:lineRule="auto"/>
        <w:rPr>
          <w:sz w:val="24"/>
        </w:rPr>
      </w:pPr>
    </w:p>
    <w:p w14:paraId="24FB848C">
      <w:pPr>
        <w:spacing w:line="360" w:lineRule="auto"/>
        <w:rPr>
          <w:sz w:val="24"/>
        </w:rPr>
      </w:pPr>
      <w:r>
        <w:rPr>
          <w:sz w:val="24"/>
        </w:rPr>
        <w:t>三、复习重点</w:t>
      </w:r>
    </w:p>
    <w:p w14:paraId="61C931E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基因</w:t>
      </w:r>
      <w:r>
        <w:rPr>
          <w:rFonts w:hint="eastAsia"/>
          <w:sz w:val="24"/>
        </w:rPr>
        <w:t>工程实现过程中涉及的工具、</w:t>
      </w:r>
      <w:r>
        <w:rPr>
          <w:sz w:val="24"/>
        </w:rPr>
        <w:t>方法</w:t>
      </w:r>
      <w:r>
        <w:rPr>
          <w:rFonts w:hint="eastAsia"/>
          <w:sz w:val="24"/>
        </w:rPr>
        <w:t>、原理和策略；</w:t>
      </w:r>
      <w:r>
        <w:rPr>
          <w:sz w:val="24"/>
        </w:rPr>
        <w:t>现代基因组研究技术</w:t>
      </w:r>
      <w:r>
        <w:rPr>
          <w:rFonts w:hint="eastAsia"/>
          <w:sz w:val="24"/>
        </w:rPr>
        <w:t>的</w:t>
      </w:r>
      <w:r>
        <w:rPr>
          <w:sz w:val="24"/>
        </w:rPr>
        <w:t>方法</w:t>
      </w:r>
      <w:r>
        <w:rPr>
          <w:rFonts w:hint="eastAsia"/>
          <w:sz w:val="24"/>
        </w:rPr>
        <w:t>、原理</w:t>
      </w:r>
      <w:r>
        <w:rPr>
          <w:sz w:val="24"/>
        </w:rPr>
        <w:t>以及</w:t>
      </w:r>
      <w:r>
        <w:rPr>
          <w:rFonts w:hint="eastAsia"/>
          <w:sz w:val="24"/>
        </w:rPr>
        <w:t>在</w:t>
      </w:r>
      <w:r>
        <w:rPr>
          <w:sz w:val="24"/>
        </w:rPr>
        <w:t>基因工程</w:t>
      </w:r>
      <w:r>
        <w:rPr>
          <w:rFonts w:hint="eastAsia"/>
          <w:sz w:val="24"/>
        </w:rPr>
        <w:t>实现过程中</w:t>
      </w:r>
      <w:r>
        <w:rPr>
          <w:sz w:val="24"/>
        </w:rPr>
        <w:t>的应用</w:t>
      </w:r>
      <w:r>
        <w:rPr>
          <w:rFonts w:hint="eastAsia"/>
          <w:sz w:val="24"/>
        </w:rPr>
        <w:t>。</w:t>
      </w:r>
    </w:p>
    <w:p w14:paraId="21C6DC32">
      <w:pPr>
        <w:spacing w:line="360" w:lineRule="auto"/>
        <w:rPr>
          <w:sz w:val="24"/>
        </w:rPr>
      </w:pPr>
    </w:p>
    <w:p w14:paraId="7E43C321">
      <w:pPr>
        <w:spacing w:line="360" w:lineRule="auto"/>
        <w:rPr>
          <w:sz w:val="24"/>
        </w:rPr>
      </w:pPr>
      <w:r>
        <w:rPr>
          <w:sz w:val="24"/>
        </w:rPr>
        <w:t>四、课程复习大纲</w:t>
      </w:r>
    </w:p>
    <w:p w14:paraId="31CD82C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第1章 基因的基本概念</w:t>
      </w:r>
    </w:p>
    <w:p w14:paraId="3DBA1CA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本章重点和难点：了解基因操作，基因工程的基本概念和定义。</w:t>
      </w:r>
    </w:p>
    <w:p w14:paraId="4C8B2F9D">
      <w:pPr>
        <w:pStyle w:val="13"/>
        <w:numPr>
          <w:ilvl w:val="1"/>
          <w:numId w:val="2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基因与基因结构</w:t>
      </w:r>
    </w:p>
    <w:p w14:paraId="7A37BD41">
      <w:pPr>
        <w:pStyle w:val="13"/>
        <w:numPr>
          <w:ilvl w:val="1"/>
          <w:numId w:val="2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基因操作与基因工程</w:t>
      </w:r>
    </w:p>
    <w:p w14:paraId="2017208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第2章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工具酶</w:t>
      </w:r>
    </w:p>
    <w:p w14:paraId="2DDA70E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本章重点和难点：各种分子克隆工具酶的基本特性，作用方式和使用条件。</w:t>
      </w:r>
      <w:r>
        <w:rPr>
          <w:rFonts w:hint="eastAsia"/>
          <w:sz w:val="24"/>
        </w:rPr>
        <w:t>在基因工程操作中对分子克隆工具酶的使用方法与选择策略。</w:t>
      </w:r>
    </w:p>
    <w:p w14:paraId="3B98E7D8">
      <w:pPr>
        <w:pStyle w:val="13"/>
        <w:numPr>
          <w:ilvl w:val="1"/>
          <w:numId w:val="3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限制性内切酶</w:t>
      </w:r>
    </w:p>
    <w:p w14:paraId="57F11910">
      <w:pPr>
        <w:pStyle w:val="13"/>
        <w:numPr>
          <w:ilvl w:val="1"/>
          <w:numId w:val="3"/>
        </w:numPr>
        <w:spacing w:line="360" w:lineRule="auto"/>
        <w:ind w:hanging="425" w:firstLineChars="0"/>
        <w:rPr>
          <w:sz w:val="24"/>
        </w:rPr>
      </w:pPr>
      <w:r>
        <w:rPr>
          <w:rFonts w:hint="eastAsia"/>
          <w:sz w:val="24"/>
        </w:rPr>
        <w:t>修饰酶</w:t>
      </w:r>
    </w:p>
    <w:p w14:paraId="10B0058B">
      <w:pPr>
        <w:pStyle w:val="13"/>
        <w:numPr>
          <w:ilvl w:val="1"/>
          <w:numId w:val="3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DNA聚合酶</w:t>
      </w:r>
    </w:p>
    <w:p w14:paraId="3A731ED7">
      <w:pPr>
        <w:pStyle w:val="13"/>
        <w:numPr>
          <w:ilvl w:val="1"/>
          <w:numId w:val="3"/>
        </w:numPr>
        <w:spacing w:line="360" w:lineRule="auto"/>
        <w:ind w:hanging="425" w:firstLineChars="0"/>
        <w:rPr>
          <w:sz w:val="24"/>
        </w:rPr>
      </w:pPr>
      <w:r>
        <w:rPr>
          <w:rFonts w:hint="eastAsia"/>
          <w:sz w:val="24"/>
        </w:rPr>
        <w:t>其他工具酶</w:t>
      </w:r>
    </w:p>
    <w:p w14:paraId="620BFAA6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第3章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载体</w:t>
      </w:r>
    </w:p>
    <w:p w14:paraId="5130F31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本章重点和难点：克隆载体</w:t>
      </w:r>
      <w:r>
        <w:rPr>
          <w:rFonts w:hint="eastAsia"/>
          <w:sz w:val="24"/>
        </w:rPr>
        <w:t>及表达载体等</w:t>
      </w:r>
      <w:r>
        <w:rPr>
          <w:sz w:val="24"/>
        </w:rPr>
        <w:t>各种</w:t>
      </w:r>
      <w:r>
        <w:rPr>
          <w:rFonts w:hint="eastAsia"/>
          <w:sz w:val="24"/>
        </w:rPr>
        <w:t>载体</w:t>
      </w:r>
      <w:r>
        <w:rPr>
          <w:sz w:val="24"/>
        </w:rPr>
        <w:t>的基本特性</w:t>
      </w:r>
      <w:r>
        <w:rPr>
          <w:rFonts w:hint="eastAsia"/>
          <w:sz w:val="24"/>
        </w:rPr>
        <w:t>，开发思路、</w:t>
      </w:r>
      <w:r>
        <w:rPr>
          <w:sz w:val="24"/>
        </w:rPr>
        <w:t>和工作原理</w:t>
      </w:r>
      <w:r>
        <w:rPr>
          <w:rFonts w:hint="eastAsia"/>
          <w:sz w:val="24"/>
        </w:rPr>
        <w:t>；以及在各种基因工程技术中对载体的选择策略与应用等</w:t>
      </w:r>
      <w:r>
        <w:rPr>
          <w:sz w:val="24"/>
        </w:rPr>
        <w:t>。</w:t>
      </w:r>
    </w:p>
    <w:p w14:paraId="297B76C8">
      <w:pPr>
        <w:pStyle w:val="13"/>
        <w:numPr>
          <w:ilvl w:val="1"/>
          <w:numId w:val="4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质粒载体</w:t>
      </w:r>
    </w:p>
    <w:p w14:paraId="1F809AFB">
      <w:pPr>
        <w:pStyle w:val="13"/>
        <w:numPr>
          <w:ilvl w:val="1"/>
          <w:numId w:val="4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噬菌体载体·</w:t>
      </w:r>
    </w:p>
    <w:p w14:paraId="45DCEB27">
      <w:pPr>
        <w:pStyle w:val="13"/>
        <w:numPr>
          <w:ilvl w:val="1"/>
          <w:numId w:val="4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人工染色体载体</w:t>
      </w:r>
    </w:p>
    <w:p w14:paraId="64BBA7E8">
      <w:pPr>
        <w:pStyle w:val="13"/>
        <w:numPr>
          <w:ilvl w:val="1"/>
          <w:numId w:val="4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表达载体</w:t>
      </w:r>
    </w:p>
    <w:p w14:paraId="42F1F9FF">
      <w:pPr>
        <w:pStyle w:val="13"/>
        <w:numPr>
          <w:ilvl w:val="1"/>
          <w:numId w:val="4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穿梭载体</w:t>
      </w:r>
    </w:p>
    <w:p w14:paraId="632224E0">
      <w:pPr>
        <w:pStyle w:val="13"/>
        <w:numPr>
          <w:ilvl w:val="1"/>
          <w:numId w:val="4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整合载体</w:t>
      </w:r>
    </w:p>
    <w:p w14:paraId="66202BE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第4章 核酸分子的分离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检测</w:t>
      </w:r>
      <w:r>
        <w:rPr>
          <w:rFonts w:hint="eastAsia"/>
          <w:b/>
          <w:bCs/>
          <w:sz w:val="24"/>
        </w:rPr>
        <w:t>与分析技术</w:t>
      </w:r>
    </w:p>
    <w:p w14:paraId="2E8B7AA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本章重点和难点：核酸分子的分离</w:t>
      </w:r>
      <w:r>
        <w:rPr>
          <w:rFonts w:hint="eastAsia"/>
          <w:sz w:val="24"/>
        </w:rPr>
        <w:t>、</w:t>
      </w:r>
      <w:r>
        <w:rPr>
          <w:sz w:val="24"/>
        </w:rPr>
        <w:t>检测的原理与方法</w:t>
      </w:r>
      <w:r>
        <w:rPr>
          <w:rFonts w:hint="eastAsia"/>
          <w:sz w:val="24"/>
        </w:rPr>
        <w:t>，各种核酸分子互作技术的原理，以及在基因工程实施过程中的应用。</w:t>
      </w:r>
    </w:p>
    <w:p w14:paraId="1AC2C271">
      <w:pPr>
        <w:pStyle w:val="13"/>
        <w:numPr>
          <w:ilvl w:val="1"/>
          <w:numId w:val="5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DNA</w:t>
      </w:r>
      <w:r>
        <w:rPr>
          <w:rFonts w:hint="eastAsia"/>
          <w:sz w:val="24"/>
        </w:rPr>
        <w:t>与R</w:t>
      </w:r>
      <w:r>
        <w:rPr>
          <w:sz w:val="24"/>
        </w:rPr>
        <w:t>NA的分离，检测和纯化</w:t>
      </w:r>
    </w:p>
    <w:p w14:paraId="543D109C">
      <w:pPr>
        <w:pStyle w:val="13"/>
        <w:numPr>
          <w:ilvl w:val="1"/>
          <w:numId w:val="5"/>
        </w:numPr>
        <w:spacing w:line="360" w:lineRule="auto"/>
        <w:ind w:hanging="425" w:firstLineChars="0"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NA, RNA</w:t>
      </w:r>
      <w:r>
        <w:rPr>
          <w:rFonts w:hint="eastAsia"/>
          <w:sz w:val="24"/>
        </w:rPr>
        <w:t>与蛋白质的相互作用</w:t>
      </w:r>
    </w:p>
    <w:p w14:paraId="21848814">
      <w:pPr>
        <w:pStyle w:val="13"/>
        <w:numPr>
          <w:ilvl w:val="1"/>
          <w:numId w:val="5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RNA作图和端点分析</w:t>
      </w:r>
    </w:p>
    <w:p w14:paraId="3E782086">
      <w:pPr>
        <w:pStyle w:val="13"/>
        <w:numPr>
          <w:ilvl w:val="1"/>
          <w:numId w:val="5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RNA干扰技术</w:t>
      </w:r>
    </w:p>
    <w:p w14:paraId="1F0F164E">
      <w:pPr>
        <w:pStyle w:val="13"/>
        <w:numPr>
          <w:ilvl w:val="1"/>
          <w:numId w:val="5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分子杂交技术</w:t>
      </w:r>
    </w:p>
    <w:p w14:paraId="0C3F08FD">
      <w:pPr>
        <w:pStyle w:val="13"/>
        <w:numPr>
          <w:ilvl w:val="1"/>
          <w:numId w:val="5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基因芯片技术</w:t>
      </w:r>
    </w:p>
    <w:p w14:paraId="2F4C52F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第5章 PCR技术及其应用</w:t>
      </w:r>
    </w:p>
    <w:p w14:paraId="106DF6D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本章重点和难点：PCR技术的基本原理</w:t>
      </w:r>
      <w:r>
        <w:rPr>
          <w:rFonts w:hint="eastAsia"/>
          <w:sz w:val="24"/>
        </w:rPr>
        <w:t>及其在基因工程操作中的使用策略</w:t>
      </w:r>
      <w:r>
        <w:rPr>
          <w:sz w:val="24"/>
        </w:rPr>
        <w:t>。</w:t>
      </w:r>
    </w:p>
    <w:p w14:paraId="46E9EB8B">
      <w:pPr>
        <w:pStyle w:val="13"/>
        <w:numPr>
          <w:ilvl w:val="1"/>
          <w:numId w:val="6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PCR技术的基本原理和工作方式</w:t>
      </w:r>
    </w:p>
    <w:p w14:paraId="23AA9F86">
      <w:pPr>
        <w:pStyle w:val="13"/>
        <w:numPr>
          <w:ilvl w:val="1"/>
          <w:numId w:val="6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常规PCR技术</w:t>
      </w:r>
    </w:p>
    <w:p w14:paraId="4360B8E0">
      <w:pPr>
        <w:pStyle w:val="13"/>
        <w:numPr>
          <w:ilvl w:val="1"/>
          <w:numId w:val="6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未知DNA片段的扩增</w:t>
      </w:r>
    </w:p>
    <w:p w14:paraId="3683BA67">
      <w:pPr>
        <w:pStyle w:val="13"/>
        <w:numPr>
          <w:ilvl w:val="1"/>
          <w:numId w:val="6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反转录PCR技术</w:t>
      </w:r>
    </w:p>
    <w:p w14:paraId="1B6D8F2D">
      <w:pPr>
        <w:pStyle w:val="13"/>
        <w:numPr>
          <w:ilvl w:val="1"/>
          <w:numId w:val="6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实时荧光定量PCR</w:t>
      </w:r>
    </w:p>
    <w:p w14:paraId="6D1B1836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第6章 DNA测序技术</w:t>
      </w:r>
    </w:p>
    <w:p w14:paraId="07305F1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本章重点和难点：各种DNA测序技术的基本原理及特征</w:t>
      </w:r>
      <w:r>
        <w:rPr>
          <w:rFonts w:hint="eastAsia"/>
          <w:sz w:val="24"/>
        </w:rPr>
        <w:t>，在现代基因工程研究中各种测序技术的优缺点及具体应用。</w:t>
      </w:r>
    </w:p>
    <w:p w14:paraId="3ED08792">
      <w:pPr>
        <w:pStyle w:val="13"/>
        <w:numPr>
          <w:ilvl w:val="1"/>
          <w:numId w:val="7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第一代DNA测序技术</w:t>
      </w:r>
    </w:p>
    <w:p w14:paraId="0457AFA9">
      <w:pPr>
        <w:pStyle w:val="13"/>
        <w:numPr>
          <w:ilvl w:val="1"/>
          <w:numId w:val="7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第二代测序技术</w:t>
      </w:r>
    </w:p>
    <w:p w14:paraId="725C5910">
      <w:pPr>
        <w:pStyle w:val="13"/>
        <w:numPr>
          <w:ilvl w:val="1"/>
          <w:numId w:val="7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单分子测序技术</w:t>
      </w:r>
    </w:p>
    <w:p w14:paraId="494BE97C">
      <w:pPr>
        <w:pStyle w:val="13"/>
        <w:numPr>
          <w:ilvl w:val="1"/>
          <w:numId w:val="7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单细胞测序技术</w:t>
      </w:r>
    </w:p>
    <w:p w14:paraId="147B7C09">
      <w:pPr>
        <w:pStyle w:val="13"/>
        <w:numPr>
          <w:ilvl w:val="1"/>
          <w:numId w:val="7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转录组测序技术</w:t>
      </w:r>
    </w:p>
    <w:p w14:paraId="268B734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第7章 基因组研究技术</w:t>
      </w:r>
    </w:p>
    <w:p w14:paraId="5A0B202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本章重点和难点：现代基因组研究技术的常用手段及其原理</w:t>
      </w:r>
      <w:r>
        <w:rPr>
          <w:rFonts w:hint="eastAsia"/>
          <w:sz w:val="24"/>
        </w:rPr>
        <w:t>。</w:t>
      </w:r>
    </w:p>
    <w:p w14:paraId="1483126D">
      <w:pPr>
        <w:pStyle w:val="13"/>
        <w:numPr>
          <w:ilvl w:val="1"/>
          <w:numId w:val="8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传统基因组研究技术</w:t>
      </w:r>
    </w:p>
    <w:p w14:paraId="64EE5F74">
      <w:pPr>
        <w:pStyle w:val="13"/>
        <w:numPr>
          <w:ilvl w:val="1"/>
          <w:numId w:val="8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3D基因组技术</w:t>
      </w:r>
    </w:p>
    <w:p w14:paraId="4D9EDCB0">
      <w:pPr>
        <w:pStyle w:val="13"/>
        <w:numPr>
          <w:ilvl w:val="1"/>
          <w:numId w:val="8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功能基因组研究技术</w:t>
      </w:r>
    </w:p>
    <w:p w14:paraId="4A09090B">
      <w:pPr>
        <w:pStyle w:val="13"/>
        <w:numPr>
          <w:ilvl w:val="1"/>
          <w:numId w:val="8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基因组工程技术（基因编辑技术）</w:t>
      </w:r>
    </w:p>
    <w:p w14:paraId="3E6C62C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第8章 DNA诱变</w:t>
      </w:r>
    </w:p>
    <w:p w14:paraId="1BAD40F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本章重点和难点：各种DNA诱变的原理和方法，</w:t>
      </w:r>
      <w:r>
        <w:rPr>
          <w:rFonts w:hint="eastAsia"/>
          <w:sz w:val="24"/>
        </w:rPr>
        <w:t>其在现代基因工程育种技术中的具体操作方式与策略。</w:t>
      </w:r>
    </w:p>
    <w:p w14:paraId="7E0F9E8B">
      <w:pPr>
        <w:pStyle w:val="13"/>
        <w:numPr>
          <w:ilvl w:val="1"/>
          <w:numId w:val="9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随机诱变</w:t>
      </w:r>
    </w:p>
    <w:p w14:paraId="34A0C18F">
      <w:pPr>
        <w:pStyle w:val="13"/>
        <w:numPr>
          <w:ilvl w:val="1"/>
          <w:numId w:val="9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DNA体外重组</w:t>
      </w:r>
    </w:p>
    <w:p w14:paraId="704188CE">
      <w:pPr>
        <w:pStyle w:val="13"/>
        <w:numPr>
          <w:ilvl w:val="1"/>
          <w:numId w:val="9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寡核苷酸介导的定点诱变</w:t>
      </w:r>
    </w:p>
    <w:p w14:paraId="0126E5EE">
      <w:pPr>
        <w:pStyle w:val="13"/>
        <w:numPr>
          <w:ilvl w:val="1"/>
          <w:numId w:val="9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嵌套缺失</w:t>
      </w:r>
    </w:p>
    <w:p w14:paraId="473E64D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第9章 DNA文库的构建及目标基因的筛选</w:t>
      </w:r>
    </w:p>
    <w:p w14:paraId="1FEED36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本章重点和难点：基因组DNA文库与cDNA文库构建的原理及其步骤</w:t>
      </w:r>
      <w:r>
        <w:rPr>
          <w:rFonts w:hint="eastAsia"/>
          <w:sz w:val="24"/>
        </w:rPr>
        <w:t>。在基因工程操作中基因文库的使用条件及应用方式。</w:t>
      </w:r>
    </w:p>
    <w:p w14:paraId="63EEE796">
      <w:pPr>
        <w:pStyle w:val="13"/>
        <w:numPr>
          <w:ilvl w:val="1"/>
          <w:numId w:val="10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基因组DNA文库的构建</w:t>
      </w:r>
    </w:p>
    <w:p w14:paraId="374DD81E">
      <w:pPr>
        <w:pStyle w:val="13"/>
        <w:numPr>
          <w:ilvl w:val="1"/>
          <w:numId w:val="10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cDNA文库的构建</w:t>
      </w:r>
    </w:p>
    <w:p w14:paraId="18AA348C">
      <w:pPr>
        <w:pStyle w:val="13"/>
        <w:numPr>
          <w:ilvl w:val="1"/>
          <w:numId w:val="10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基因</w:t>
      </w:r>
      <w:r>
        <w:rPr>
          <w:rFonts w:hint="eastAsia"/>
          <w:sz w:val="24"/>
        </w:rPr>
        <w:t>文库</w:t>
      </w:r>
      <w:r>
        <w:rPr>
          <w:sz w:val="24"/>
        </w:rPr>
        <w:t>克隆</w:t>
      </w:r>
      <w:r>
        <w:rPr>
          <w:rFonts w:hint="eastAsia"/>
          <w:sz w:val="24"/>
        </w:rPr>
        <w:t>子</w:t>
      </w:r>
      <w:r>
        <w:rPr>
          <w:sz w:val="24"/>
        </w:rPr>
        <w:t>的筛选策略</w:t>
      </w:r>
    </w:p>
    <w:p w14:paraId="4B36481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第10章 植物基因工程</w:t>
      </w:r>
    </w:p>
    <w:p w14:paraId="77FC4B1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本章重点和难点：植物基因工程的技术手段和应用</w:t>
      </w:r>
      <w:r>
        <w:rPr>
          <w:rFonts w:hint="eastAsia"/>
          <w:sz w:val="24"/>
        </w:rPr>
        <w:t>。</w:t>
      </w:r>
    </w:p>
    <w:p w14:paraId="261231EC">
      <w:pPr>
        <w:pStyle w:val="13"/>
        <w:numPr>
          <w:ilvl w:val="1"/>
          <w:numId w:val="11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植物基因工程的发展与现状</w:t>
      </w:r>
    </w:p>
    <w:p w14:paraId="1EF91B09">
      <w:pPr>
        <w:pStyle w:val="13"/>
        <w:numPr>
          <w:ilvl w:val="1"/>
          <w:numId w:val="11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植物基因工程基本方法和策略</w:t>
      </w:r>
    </w:p>
    <w:p w14:paraId="501A0AFD">
      <w:pPr>
        <w:pStyle w:val="13"/>
        <w:numPr>
          <w:ilvl w:val="1"/>
          <w:numId w:val="11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植物基因工程的应用的展望</w:t>
      </w:r>
    </w:p>
    <w:p w14:paraId="105CD2F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第11章 动物基因工程</w:t>
      </w:r>
    </w:p>
    <w:p w14:paraId="68DAC67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本章重点和难点：动物基因工程的技术手段和应用</w:t>
      </w:r>
      <w:r>
        <w:rPr>
          <w:rFonts w:hint="eastAsia"/>
          <w:sz w:val="24"/>
        </w:rPr>
        <w:t>。</w:t>
      </w:r>
    </w:p>
    <w:p w14:paraId="3DC10EC9">
      <w:pPr>
        <w:pStyle w:val="13"/>
        <w:numPr>
          <w:ilvl w:val="1"/>
          <w:numId w:val="12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动物基因工程的发展现状和趋势</w:t>
      </w:r>
    </w:p>
    <w:p w14:paraId="376F572C">
      <w:pPr>
        <w:pStyle w:val="13"/>
        <w:numPr>
          <w:ilvl w:val="1"/>
          <w:numId w:val="12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动物转基因技术方法和策略</w:t>
      </w:r>
    </w:p>
    <w:p w14:paraId="48B5CACB">
      <w:pPr>
        <w:pStyle w:val="13"/>
        <w:numPr>
          <w:ilvl w:val="1"/>
          <w:numId w:val="12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转基因动物的应用与安全评价</w:t>
      </w:r>
    </w:p>
    <w:p w14:paraId="6F50DB8A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第12章 酵母基因工程</w:t>
      </w:r>
    </w:p>
    <w:p w14:paraId="4DADA06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本章重点和难点：酵母表达系统</w:t>
      </w:r>
      <w:r>
        <w:rPr>
          <w:rFonts w:hint="eastAsia"/>
          <w:sz w:val="24"/>
        </w:rPr>
        <w:t>及其在基因工程中的</w:t>
      </w:r>
      <w:r>
        <w:rPr>
          <w:sz w:val="24"/>
        </w:rPr>
        <w:t>应用</w:t>
      </w:r>
      <w:r>
        <w:rPr>
          <w:rFonts w:hint="eastAsia"/>
          <w:sz w:val="24"/>
        </w:rPr>
        <w:t>。</w:t>
      </w:r>
    </w:p>
    <w:p w14:paraId="2B9E5F4A">
      <w:pPr>
        <w:pStyle w:val="13"/>
        <w:numPr>
          <w:ilvl w:val="1"/>
          <w:numId w:val="13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酵母基因工程的发现现状和趋势</w:t>
      </w:r>
    </w:p>
    <w:p w14:paraId="1B37D656">
      <w:pPr>
        <w:pStyle w:val="13"/>
        <w:numPr>
          <w:ilvl w:val="1"/>
          <w:numId w:val="13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酵母表达系统</w:t>
      </w:r>
    </w:p>
    <w:p w14:paraId="3EE8C1C1">
      <w:pPr>
        <w:pStyle w:val="13"/>
        <w:numPr>
          <w:ilvl w:val="1"/>
          <w:numId w:val="13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酵母基因工程的应用</w:t>
      </w:r>
    </w:p>
    <w:p w14:paraId="692203C6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第13章 细菌基因工程</w:t>
      </w:r>
    </w:p>
    <w:p w14:paraId="05F1F65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本章重点和难点：细菌表达系统及其</w:t>
      </w:r>
      <w:r>
        <w:rPr>
          <w:rFonts w:hint="eastAsia"/>
          <w:sz w:val="24"/>
        </w:rPr>
        <w:t>在基因工程中的</w:t>
      </w:r>
      <w:r>
        <w:rPr>
          <w:sz w:val="24"/>
        </w:rPr>
        <w:t>应用</w:t>
      </w:r>
      <w:r>
        <w:rPr>
          <w:rFonts w:hint="eastAsia"/>
          <w:sz w:val="24"/>
        </w:rPr>
        <w:t>。</w:t>
      </w:r>
    </w:p>
    <w:p w14:paraId="09A66F09">
      <w:pPr>
        <w:pStyle w:val="13"/>
        <w:numPr>
          <w:ilvl w:val="1"/>
          <w:numId w:val="14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细菌基因工程的发展现状和趋势</w:t>
      </w:r>
    </w:p>
    <w:p w14:paraId="38AEE018">
      <w:pPr>
        <w:pStyle w:val="13"/>
        <w:numPr>
          <w:ilvl w:val="1"/>
          <w:numId w:val="14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细菌表达系统</w:t>
      </w:r>
    </w:p>
    <w:p w14:paraId="405267B6">
      <w:pPr>
        <w:pStyle w:val="13"/>
        <w:numPr>
          <w:ilvl w:val="1"/>
          <w:numId w:val="14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细菌基因工程的应用</w:t>
      </w:r>
    </w:p>
    <w:p w14:paraId="6B54423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第14章 病毒基因工程</w:t>
      </w:r>
    </w:p>
    <w:p w14:paraId="5123A9B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本章重点和难点：各种病毒载体及其</w:t>
      </w:r>
      <w:r>
        <w:rPr>
          <w:rFonts w:hint="eastAsia"/>
          <w:sz w:val="24"/>
        </w:rPr>
        <w:t>在基因工程中的</w:t>
      </w:r>
      <w:r>
        <w:rPr>
          <w:sz w:val="24"/>
        </w:rPr>
        <w:t>应用</w:t>
      </w:r>
      <w:r>
        <w:rPr>
          <w:rFonts w:hint="eastAsia"/>
          <w:sz w:val="24"/>
        </w:rPr>
        <w:t>。</w:t>
      </w:r>
    </w:p>
    <w:p w14:paraId="4C3B5692">
      <w:pPr>
        <w:pStyle w:val="13"/>
        <w:numPr>
          <w:ilvl w:val="1"/>
          <w:numId w:val="15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病毒载体</w:t>
      </w:r>
    </w:p>
    <w:p w14:paraId="7EA89C79">
      <w:pPr>
        <w:pStyle w:val="13"/>
        <w:numPr>
          <w:ilvl w:val="1"/>
          <w:numId w:val="15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病毒基因工程的应用</w:t>
      </w:r>
    </w:p>
    <w:p w14:paraId="4CAA4B4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第15章 医药基因工程</w:t>
      </w:r>
    </w:p>
    <w:p w14:paraId="7CFC66A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本章重点和难点：基因工程药物的种类及其开发流程</w:t>
      </w:r>
      <w:r>
        <w:rPr>
          <w:rFonts w:hint="eastAsia"/>
          <w:sz w:val="24"/>
        </w:rPr>
        <w:t>。</w:t>
      </w:r>
    </w:p>
    <w:p w14:paraId="7456C08F">
      <w:pPr>
        <w:pStyle w:val="13"/>
        <w:numPr>
          <w:ilvl w:val="1"/>
          <w:numId w:val="16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基因工程药物开发现状和发展趋势</w:t>
      </w:r>
    </w:p>
    <w:p w14:paraId="38EE70AA">
      <w:pPr>
        <w:pStyle w:val="13"/>
        <w:numPr>
          <w:ilvl w:val="1"/>
          <w:numId w:val="16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基因工程药物及其开发策略</w:t>
      </w:r>
    </w:p>
    <w:p w14:paraId="25B5FB9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第16章 基因工程的安全性</w:t>
      </w:r>
    </w:p>
    <w:p w14:paraId="760D983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本章重点和难点：基因工程的安全性评价及其保障措施</w:t>
      </w:r>
      <w:r>
        <w:rPr>
          <w:rFonts w:hint="eastAsia"/>
          <w:sz w:val="24"/>
        </w:rPr>
        <w:t>。</w:t>
      </w:r>
    </w:p>
    <w:p w14:paraId="35107393">
      <w:pPr>
        <w:pStyle w:val="13"/>
        <w:numPr>
          <w:ilvl w:val="1"/>
          <w:numId w:val="17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基因工程产品的安全性评价</w:t>
      </w:r>
    </w:p>
    <w:p w14:paraId="01E0BCA7">
      <w:pPr>
        <w:pStyle w:val="13"/>
        <w:numPr>
          <w:ilvl w:val="1"/>
          <w:numId w:val="17"/>
        </w:numPr>
        <w:spacing w:line="360" w:lineRule="auto"/>
        <w:ind w:hanging="425" w:firstLineChars="0"/>
        <w:rPr>
          <w:sz w:val="24"/>
        </w:rPr>
      </w:pPr>
      <w:r>
        <w:rPr>
          <w:sz w:val="24"/>
        </w:rPr>
        <w:t>基因工程技术的安全性管理</w:t>
      </w:r>
    </w:p>
    <w:p w14:paraId="427E8B54">
      <w:pPr>
        <w:spacing w:line="360" w:lineRule="auto"/>
        <w:rPr>
          <w:sz w:val="24"/>
        </w:rPr>
      </w:pPr>
    </w:p>
    <w:p w14:paraId="38076FFC">
      <w:pPr>
        <w:spacing w:line="360" w:lineRule="auto"/>
        <w:rPr>
          <w:sz w:val="24"/>
        </w:rPr>
      </w:pPr>
      <w:r>
        <w:rPr>
          <w:sz w:val="24"/>
        </w:rPr>
        <w:t>五、参考书目</w:t>
      </w:r>
    </w:p>
    <w:p w14:paraId="426BE3FF">
      <w:pPr>
        <w:spacing w:line="360" w:lineRule="auto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孙明</w:t>
      </w:r>
      <w:r>
        <w:rPr>
          <w:sz w:val="24"/>
        </w:rPr>
        <w:t xml:space="preserve">. </w:t>
      </w:r>
      <w:r>
        <w:rPr>
          <w:rFonts w:hint="eastAsia"/>
          <w:sz w:val="24"/>
        </w:rPr>
        <w:t>基因工程（第二版）</w:t>
      </w:r>
      <w:r>
        <w:rPr>
          <w:sz w:val="24"/>
        </w:rPr>
        <w:t xml:space="preserve">[M]. </w:t>
      </w:r>
      <w:r>
        <w:rPr>
          <w:rFonts w:hint="eastAsia"/>
          <w:sz w:val="24"/>
        </w:rPr>
        <w:t>北京：高等教育出版社，</w:t>
      </w:r>
      <w:r>
        <w:rPr>
          <w:sz w:val="24"/>
        </w:rPr>
        <w:t>2006.</w:t>
      </w:r>
    </w:p>
    <w:p w14:paraId="40168C6C">
      <w:pPr>
        <w:spacing w:line="360" w:lineRule="auto"/>
        <w:rPr>
          <w:sz w:val="24"/>
        </w:rPr>
      </w:pPr>
      <w:r>
        <w:rPr>
          <w:sz w:val="24"/>
        </w:rPr>
        <w:t>2.</w:t>
      </w:r>
      <w:r>
        <w:t xml:space="preserve"> </w:t>
      </w:r>
      <w:r>
        <w:rPr>
          <w:sz w:val="24"/>
        </w:rPr>
        <w:t>Primrose S B, Twyman R. Principles of gene manipulation and genomics[M]. John Wiley &amp; Sons, 2013.</w:t>
      </w:r>
    </w:p>
    <w:p w14:paraId="3C15DC75">
      <w:pPr>
        <w:spacing w:line="360" w:lineRule="auto"/>
        <w:rPr>
          <w:sz w:val="24"/>
        </w:rPr>
      </w:pPr>
      <w:r>
        <w:rPr>
          <w:sz w:val="24"/>
        </w:rPr>
        <w:t>3. Green M R, Sambrook J. Molecular Cloning, a laboratory manual, 4th edition. Cold Spring harbor, New York</w:t>
      </w:r>
      <w:r>
        <w:rPr>
          <w:rFonts w:hint="eastAsia"/>
          <w:sz w:val="24"/>
        </w:rPr>
        <w:t>，</w:t>
      </w:r>
      <w:r>
        <w:rPr>
          <w:sz w:val="24"/>
        </w:rPr>
        <w:t>2012</w:t>
      </w:r>
    </w:p>
    <w:p w14:paraId="2DB74A73">
      <w:pPr>
        <w:spacing w:line="360" w:lineRule="auto"/>
        <w:rPr>
          <w:sz w:val="24"/>
        </w:rPr>
      </w:pPr>
      <w:r>
        <w:rPr>
          <w:sz w:val="24"/>
        </w:rPr>
        <w:t>4. Below F E A L. Molecular cloning a laboratory manual, fourth edition[J]. 2015</w:t>
      </w:r>
    </w:p>
    <w:p w14:paraId="126E6D86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>
        <w:rPr>
          <w:rFonts w:hint="eastAsia"/>
          <w:sz w:val="24"/>
        </w:rPr>
        <w:t>常重杰.</w:t>
      </w:r>
      <w:r>
        <w:rPr>
          <w:sz w:val="24"/>
        </w:rPr>
        <w:t xml:space="preserve"> </w:t>
      </w:r>
      <w:r>
        <w:rPr>
          <w:rFonts w:hint="eastAsia"/>
          <w:sz w:val="24"/>
        </w:rPr>
        <w:t>基因工程（第一版）[</w:t>
      </w:r>
      <w:r>
        <w:rPr>
          <w:sz w:val="24"/>
        </w:rPr>
        <w:t xml:space="preserve">M]. </w:t>
      </w:r>
      <w:r>
        <w:rPr>
          <w:rFonts w:hint="eastAsia"/>
          <w:sz w:val="24"/>
        </w:rPr>
        <w:t>科学出版社，2</w:t>
      </w:r>
      <w:r>
        <w:rPr>
          <w:sz w:val="24"/>
        </w:rPr>
        <w:t>012.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D043A"/>
    <w:multiLevelType w:val="multilevel"/>
    <w:tmpl w:val="131D043A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11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D237A5A"/>
    <w:multiLevelType w:val="multilevel"/>
    <w:tmpl w:val="1D237A5A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8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EC76367"/>
    <w:multiLevelType w:val="multilevel"/>
    <w:tmpl w:val="1EC76367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9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241918F9"/>
    <w:multiLevelType w:val="multilevel"/>
    <w:tmpl w:val="241918F9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1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5F02CA5"/>
    <w:multiLevelType w:val="multilevel"/>
    <w:tmpl w:val="25F02CA5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10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72747C5"/>
    <w:multiLevelType w:val="multilevel"/>
    <w:tmpl w:val="272747C5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2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31F67275"/>
    <w:multiLevelType w:val="multilevel"/>
    <w:tmpl w:val="31F67275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13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DA775E1"/>
    <w:multiLevelType w:val="multilevel"/>
    <w:tmpl w:val="3DA775E1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4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2D29EF"/>
    <w:multiLevelType w:val="multilevel"/>
    <w:tmpl w:val="482D29E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9D72DC"/>
    <w:multiLevelType w:val="multilevel"/>
    <w:tmpl w:val="489D72DC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7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4BC6366E"/>
    <w:multiLevelType w:val="multilevel"/>
    <w:tmpl w:val="4BC6366E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12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E7B0E5E"/>
    <w:multiLevelType w:val="multilevel"/>
    <w:tmpl w:val="4E7B0E5E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14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34F5404"/>
    <w:multiLevelType w:val="multilevel"/>
    <w:tmpl w:val="534F540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5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8AF04A8"/>
    <w:multiLevelType w:val="multilevel"/>
    <w:tmpl w:val="58AF04A8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6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5B8E15B2"/>
    <w:multiLevelType w:val="multilevel"/>
    <w:tmpl w:val="5B8E15B2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16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5F0A5B5D"/>
    <w:multiLevelType w:val="multilevel"/>
    <w:tmpl w:val="5F0A5B5D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15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6BE50DEF"/>
    <w:multiLevelType w:val="multilevel"/>
    <w:tmpl w:val="6BE50DE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3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12"/>
  </w:num>
  <w:num w:numId="7">
    <w:abstractNumId w:val="13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6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C0NDIyNjcwMjMwNzdT0lEKTi0uzszPAykwrQUARp8maCwAAAA="/>
  </w:docVars>
  <w:rsids>
    <w:rsidRoot w:val="00C06C4B"/>
    <w:rsid w:val="00164AEB"/>
    <w:rsid w:val="00173261"/>
    <w:rsid w:val="00214B0F"/>
    <w:rsid w:val="002336DE"/>
    <w:rsid w:val="002669D4"/>
    <w:rsid w:val="002B51EB"/>
    <w:rsid w:val="002B620F"/>
    <w:rsid w:val="002D36E6"/>
    <w:rsid w:val="002F4BB3"/>
    <w:rsid w:val="003645F1"/>
    <w:rsid w:val="0037264A"/>
    <w:rsid w:val="003E3C74"/>
    <w:rsid w:val="00494633"/>
    <w:rsid w:val="00552C9E"/>
    <w:rsid w:val="005706F6"/>
    <w:rsid w:val="0057274B"/>
    <w:rsid w:val="0064181F"/>
    <w:rsid w:val="006E2FC1"/>
    <w:rsid w:val="00782929"/>
    <w:rsid w:val="00784153"/>
    <w:rsid w:val="007E140B"/>
    <w:rsid w:val="007F3190"/>
    <w:rsid w:val="008C01E3"/>
    <w:rsid w:val="008F327B"/>
    <w:rsid w:val="00932136"/>
    <w:rsid w:val="0095543A"/>
    <w:rsid w:val="00AC73C1"/>
    <w:rsid w:val="00AC7E9E"/>
    <w:rsid w:val="00B45902"/>
    <w:rsid w:val="00BC7C25"/>
    <w:rsid w:val="00BF2372"/>
    <w:rsid w:val="00C06C4B"/>
    <w:rsid w:val="00D04FB2"/>
    <w:rsid w:val="00D3618B"/>
    <w:rsid w:val="00D87C9C"/>
    <w:rsid w:val="00ED1EE3"/>
    <w:rsid w:val="00EF3D1F"/>
    <w:rsid w:val="00EF4378"/>
    <w:rsid w:val="00F9585A"/>
    <w:rsid w:val="00FA065E"/>
    <w:rsid w:val="67E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cs="Courier New"/>
      <w:kern w:val="0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aper小标题"/>
    <w:basedOn w:val="1"/>
    <w:link w:val="8"/>
    <w:qFormat/>
    <w:uiPriority w:val="0"/>
    <w:pPr>
      <w:autoSpaceDE w:val="0"/>
      <w:autoSpaceDN w:val="0"/>
      <w:adjustRightInd w:val="0"/>
      <w:spacing w:line="480" w:lineRule="auto"/>
      <w:outlineLvl w:val="0"/>
    </w:pPr>
    <w:rPr>
      <w:b/>
      <w:sz w:val="24"/>
    </w:rPr>
  </w:style>
  <w:style w:type="character" w:customStyle="1" w:styleId="8">
    <w:name w:val="paper小标题 字符"/>
    <w:basedOn w:val="6"/>
    <w:link w:val="7"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customStyle="1" w:styleId="9">
    <w:name w:val="English正文"/>
    <w:basedOn w:val="1"/>
    <w:link w:val="10"/>
    <w:qFormat/>
    <w:uiPriority w:val="0"/>
    <w:pPr>
      <w:autoSpaceDE w:val="0"/>
      <w:autoSpaceDN w:val="0"/>
      <w:adjustRightInd w:val="0"/>
      <w:spacing w:line="480" w:lineRule="auto"/>
      <w:ind w:firstLine="360"/>
    </w:pPr>
    <w:rPr>
      <w:bCs/>
      <w:iCs/>
      <w:sz w:val="24"/>
    </w:rPr>
  </w:style>
  <w:style w:type="character" w:customStyle="1" w:styleId="10">
    <w:name w:val="English正文 字符"/>
    <w:basedOn w:val="6"/>
    <w:link w:val="9"/>
    <w:uiPriority w:val="0"/>
    <w:rPr>
      <w:rFonts w:ascii="Times New Roman" w:hAnsi="Times New Roman" w:eastAsia="宋体" w:cs="Times New Roman"/>
      <w:bCs/>
      <w:iCs/>
      <w:sz w:val="24"/>
      <w:szCs w:val="24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6"/>
    <w:link w:val="2"/>
    <w:uiPriority w:val="0"/>
    <w:rPr>
      <w:rFonts w:ascii="宋体" w:hAnsi="Courier New" w:eastAsia="宋体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1853</Characters>
  <Lines>15</Lines>
  <Paragraphs>4</Paragraphs>
  <TotalTime>0</TotalTime>
  <ScaleCrop>false</ScaleCrop>
  <LinksUpToDate>false</LinksUpToDate>
  <CharactersWithSpaces>2174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2021-06-25T09:39:00Z</dcterms:created>
  <dc:creator>陈 汉桥</dc:creator>
  <cp:lastModifiedBy>vertesyuan</cp:lastModifiedBy>
  <dcterms:modified xsi:type="dcterms:W3CDTF">2024-09-23T14:49:01Z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72D540BD87FA4D1980C96F639709216A_13</vt:lpwstr>
  </property>
</Properties>
</file>