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6CC478">
      <w:pPr>
        <w:rPr>
          <w:rFonts w:hint="eastAsia" w:ascii="黑体" w:hAnsi="宋体" w:eastAsia="黑体"/>
        </w:rPr>
      </w:pPr>
      <w:bookmarkStart w:id="0" w:name="_GoBack"/>
      <w:bookmarkEnd w:id="0"/>
    </w:p>
    <w:p w14:paraId="40D719BB">
      <w:pPr>
        <w:snapToGrid w:val="0"/>
        <w:jc w:val="center"/>
        <w:rPr>
          <w:rFonts w:ascii="黑体" w:eastAsia="黑体"/>
          <w:sz w:val="32"/>
          <w:szCs w:val="32"/>
        </w:rPr>
      </w:pPr>
      <w:r>
        <w:rPr>
          <w:rFonts w:ascii="黑体" w:hAnsi="宋体" w:eastAsia="黑体" w:cs="黑体"/>
          <w:sz w:val="32"/>
          <w:szCs w:val="32"/>
        </w:rPr>
        <w:t>352</w:t>
      </w:r>
      <w:r>
        <w:rPr>
          <w:rFonts w:hint="eastAsia" w:ascii="黑体" w:hAnsi="宋体" w:eastAsia="黑体" w:cs="黑体"/>
          <w:sz w:val="32"/>
          <w:szCs w:val="32"/>
        </w:rPr>
        <w:t>-口腔综合</w:t>
      </w:r>
    </w:p>
    <w:p w14:paraId="73661FD3">
      <w:pPr>
        <w:jc w:val="center"/>
        <w:rPr>
          <w:rFonts w:hint="eastAsia" w:ascii="黑体" w:hAnsi="黑体" w:eastAsia="黑体" w:cs="黑体"/>
          <w:b w:val="0"/>
          <w:bCs w:val="0"/>
        </w:rPr>
      </w:pPr>
    </w:p>
    <w:p w14:paraId="6A3963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黑体" w:hAnsi="黑体" w:eastAsia="黑体" w:cs="黑体"/>
          <w:b w:val="0"/>
          <w:bCs w:val="0"/>
        </w:rPr>
      </w:pPr>
      <w:r>
        <w:rPr>
          <w:rFonts w:hint="eastAsia" w:ascii="黑体" w:hAnsi="黑体" w:eastAsia="黑体" w:cs="黑体"/>
          <w:b w:val="0"/>
          <w:bCs w:val="0"/>
        </w:rPr>
        <w:t>一、考试性质</w:t>
      </w:r>
    </w:p>
    <w:p w14:paraId="697FCEEB">
      <w:pPr>
        <w:spacing w:line="400" w:lineRule="exact"/>
        <w:ind w:firstLine="420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考试力求全面、科学、公平、准确、规范地测评考生的基本素质和综合能力，以利用选拔具有发展潜力的优秀人才入学，培养德、智、体全面发展，具有坚实的理论基础、系统的专业知识和熟练的临床技能，能从事临床口腔医学中所修专业（口腔内科学、口腔颌面外科学、口腔修复学、口腔正畸学）的医疗、教学及科研工作的高层次专门人才。</w:t>
      </w:r>
    </w:p>
    <w:p w14:paraId="1768E39F">
      <w:pPr>
        <w:spacing w:line="400" w:lineRule="exact"/>
        <w:ind w:firstLine="420" w:firstLineChars="200"/>
        <w:rPr>
          <w:rFonts w:ascii="宋体" w:hAnsi="宋体"/>
        </w:rPr>
      </w:pPr>
    </w:p>
    <w:p w14:paraId="65EA7A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黑体" w:hAnsi="黑体" w:eastAsia="黑体" w:cs="黑体"/>
          <w:b w:val="0"/>
          <w:bCs w:val="0"/>
        </w:rPr>
      </w:pPr>
      <w:r>
        <w:rPr>
          <w:rFonts w:hint="eastAsia" w:ascii="黑体" w:hAnsi="黑体" w:eastAsia="黑体" w:cs="黑体"/>
          <w:b w:val="0"/>
          <w:bCs w:val="0"/>
        </w:rPr>
        <w:t>二、考试要求</w:t>
      </w:r>
    </w:p>
    <w:p w14:paraId="5EBB322B">
      <w:pPr>
        <w:snapToGrid w:val="0"/>
        <w:spacing w:line="400" w:lineRule="exact"/>
        <w:ind w:firstLine="420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测试考生对于口腔医学的基础理论、基本知识和基本技能的掌握情况和运用能力。</w:t>
      </w:r>
    </w:p>
    <w:p w14:paraId="11CF8808">
      <w:pPr>
        <w:snapToGrid w:val="0"/>
        <w:spacing w:line="400" w:lineRule="exact"/>
        <w:ind w:firstLine="420" w:firstLineChars="200"/>
        <w:rPr>
          <w:rFonts w:ascii="宋体" w:hAnsi="宋体"/>
        </w:rPr>
      </w:pPr>
    </w:p>
    <w:p w14:paraId="38328F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黑体" w:hAnsi="黑体" w:eastAsia="黑体" w:cs="黑体"/>
          <w:b w:val="0"/>
          <w:bCs w:val="0"/>
        </w:rPr>
      </w:pPr>
      <w:r>
        <w:rPr>
          <w:rFonts w:hint="eastAsia" w:ascii="黑体" w:hAnsi="黑体" w:eastAsia="黑体" w:cs="黑体"/>
          <w:b w:val="0"/>
          <w:bCs w:val="0"/>
        </w:rPr>
        <w:t>三、考试内容</w:t>
      </w:r>
    </w:p>
    <w:p w14:paraId="5B0833E1">
      <w:pPr>
        <w:spacing w:line="400" w:lineRule="exact"/>
        <w:ind w:firstLine="420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考试由口腔组织病理学、口腔解剖生理学（包括牙体解剖</w:t>
      </w:r>
      <w:r>
        <w:rPr>
          <w:rFonts w:hint="eastAsia" w:ascii="宋体" w:hAnsi="宋体" w:cs="宋体"/>
          <w:w w:val="50"/>
        </w:rPr>
        <w:t>牙合</w:t>
      </w:r>
      <w:r>
        <w:rPr>
          <w:rFonts w:hint="eastAsia" w:ascii="宋体" w:hAnsi="宋体" w:cs="宋体"/>
        </w:rPr>
        <w:t>生理和口腔局部解剖），口腔内科学（包括牙体牙髓病学、牙周病学和口腔粘膜病学），口腔颌面外科学、口腔修复学、口腔正畸学组成。</w:t>
      </w:r>
    </w:p>
    <w:p w14:paraId="468448F9">
      <w:pPr>
        <w:spacing w:line="400" w:lineRule="exact"/>
        <w:ind w:firstLine="422" w:firstLineChars="200"/>
        <w:rPr>
          <w:rFonts w:ascii="宋体" w:hAnsi="宋体"/>
          <w:b/>
        </w:rPr>
      </w:pPr>
      <w:r>
        <w:rPr>
          <w:rFonts w:hint="eastAsia" w:ascii="Calibri" w:hAnsi="Calibri"/>
          <w:b/>
        </w:rPr>
        <w:t>1．</w:t>
      </w:r>
      <w:r>
        <w:rPr>
          <w:rFonts w:hint="eastAsia" w:ascii="宋体" w:hAnsi="宋体" w:cs="黑体"/>
          <w:b/>
        </w:rPr>
        <w:t>口腔组织病理学</w:t>
      </w:r>
    </w:p>
    <w:p w14:paraId="356527F0">
      <w:pPr>
        <w:spacing w:line="400" w:lineRule="exact"/>
        <w:ind w:firstLine="420" w:firstLineChars="200"/>
        <w:rPr>
          <w:rFonts w:ascii="宋体" w:hAnsi="宋体"/>
        </w:rPr>
      </w:pPr>
      <w:r>
        <w:rPr>
          <w:rFonts w:hint="eastAsia" w:ascii="宋体" w:hAnsi="宋体" w:cs="宋体"/>
        </w:rPr>
        <w:t>口腔胚胎学</w:t>
      </w:r>
      <w:r>
        <w:rPr>
          <w:rFonts w:ascii="宋体" w:hAnsi="宋体" w:cs="宋体"/>
        </w:rPr>
        <w:t xml:space="preserve">, </w:t>
      </w:r>
      <w:r>
        <w:rPr>
          <w:rFonts w:hint="eastAsia" w:ascii="宋体" w:hAnsi="宋体" w:cs="宋体"/>
        </w:rPr>
        <w:t>口腔颌面部开始发育的时间，形成的各面突，面突联（融）合的时间、过程，所形成的面部组织、器官及常见的发育异常；牙齿开始发育的时间，发育过程中形成的组织、器官及其镜下的组织学表现；牙体、牙周各组织的形成过程；口腔组织学，牙体、牙周、粘膜、涎腺各器官的一般组织结构及其结构特点；口腔病理学，口腔颌面部各组织器官常见疾病的病理变化及鉴别诊断。</w:t>
      </w:r>
    </w:p>
    <w:p w14:paraId="44644332">
      <w:pPr>
        <w:spacing w:line="400" w:lineRule="exact"/>
        <w:ind w:firstLine="422" w:firstLineChars="200"/>
        <w:rPr>
          <w:rFonts w:ascii="宋体" w:hAnsi="宋体"/>
          <w:b/>
        </w:rPr>
      </w:pPr>
      <w:r>
        <w:rPr>
          <w:rFonts w:hint="eastAsia" w:ascii="Calibri" w:hAnsi="Calibri"/>
          <w:b/>
        </w:rPr>
        <w:t>2．</w:t>
      </w:r>
      <w:r>
        <w:rPr>
          <w:rFonts w:hint="eastAsia" w:ascii="宋体" w:hAnsi="宋体" w:cs="黑体"/>
          <w:b/>
        </w:rPr>
        <w:t>口腔解剖生理学</w:t>
      </w:r>
    </w:p>
    <w:p w14:paraId="1A97D44F">
      <w:pPr>
        <w:spacing w:line="400" w:lineRule="exact"/>
        <w:ind w:firstLine="422" w:firstLineChars="200"/>
        <w:rPr>
          <w:rFonts w:hint="eastAsia"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口腔局部解剖：</w:t>
      </w:r>
      <w:r>
        <w:rPr>
          <w:rFonts w:hint="eastAsia" w:ascii="宋体" w:hAnsi="宋体" w:cs="宋体"/>
        </w:rPr>
        <w:t>上、下颌骨、蝶骨、颞骨的形态结构和解剖特点；颞下颌关节的构成及各部分的结构特点，颞下颌关节运动的开闭口运动特点，颞下颌关节负重与改建；表情肌、咀嚼肌、腭咽部肌各自肌群的位置、起止点、形态和功能；口颌系统的肌链及其临床意义；腮腺、下颌腺、外腺、小唾液腺的位置、形态及其腺导管的走行、开口部位、临床应用、神经支配、血管分布、淋巴回流；颈总动脉的行程、颈动脉窦、颈动脉体的位置、性质及功能；颈外动脉及其分支的行程、分布、临床应用；颈内动脉的行程；面前静脉、颞浅静脉、翼静脉丛、颈内静脉、面后静脉、面总静脉、颌内静脉的起止、行程和属支；颅内、外静脉的交通及其临床应用；腮腺淋巴结、下颌下腺淋巴结、面淋巴结、颏下淋巴结的位置、收集范围及淋巴流向；颈外侧群淋巴结的位置、收集范围和淋巴流向；右淋巴导管和胸导管颈段的组成、行程收集范围及注入部；三叉神经分支的起止行程、分支、管理分布，及上、下颌神经在口腔内的分布及其变异；面神经管段的分支，面神经颅外段及其分支、分支的起止行程，分布区域及损伤时造成的面瘫结果；掌握舌下神经的纤维成份、分支、支配范围及其临床应用。面部比例及美容角；唇的境界、表面解剖标志、层次、及淋巴回流、血供、神经支配；颊的层次及境界；牙龈的结构特点；硬腭的层次及结构特点；软腭表面解剖标志、层次、构造及其神经分部；舌下区的境界、表面解剖标志、内容及其排列；舌乳头分类、舌的肌肉、血管、淋巴回流及神经；皮肤及皮下组织的特点；腮腺咬肌区的境界、层次及内容、显露面神经主干及其分支的标志；面侧深区的境界及层次及内容；蜂窝组织间隙及其连通。颈部境界、分区、体表标志及体表投影；下颌下三角的境界、层次、内容及毗邻；气管颈段前方的层次及毗邻、气管切开术注意事项；颈动脉三角的境界、层次、内容、毗邻；颈内外动脉的鉴别。</w:t>
      </w:r>
    </w:p>
    <w:p w14:paraId="3B46222C">
      <w:pPr>
        <w:spacing w:line="400" w:lineRule="exact"/>
        <w:ind w:firstLine="422" w:firstLineChars="200"/>
        <w:rPr>
          <w:rFonts w:hint="eastAsia" w:ascii="宋体" w:hAnsi="宋体" w:cs="宋体"/>
          <w:color w:val="000000"/>
        </w:rPr>
      </w:pPr>
      <w:r>
        <w:rPr>
          <w:rFonts w:hint="eastAsia" w:ascii="宋体" w:hAnsi="宋体" w:cs="宋体"/>
          <w:b/>
          <w:bCs/>
        </w:rPr>
        <w:t>牙体解剖及</w:t>
      </w:r>
      <w:r>
        <w:rPr>
          <w:rFonts w:hint="eastAsia" w:ascii="宋体" w:hAnsi="宋体" w:cs="宋体"/>
          <w:b/>
          <w:bCs/>
          <w:w w:val="50"/>
        </w:rPr>
        <w:t>牙合</w:t>
      </w:r>
      <w:r>
        <w:rPr>
          <w:rFonts w:hint="eastAsia" w:ascii="宋体" w:hAnsi="宋体" w:cs="宋体"/>
          <w:b/>
          <w:bCs/>
        </w:rPr>
        <w:t>生理：</w:t>
      </w:r>
      <w:r>
        <w:rPr>
          <w:rFonts w:hint="eastAsia" w:ascii="宋体" w:hAnsi="宋体" w:cs="宋体"/>
        </w:rPr>
        <w:t>临床牙位记录，一般应用名词及表面解剖标志。各类牙齿的应用解剖，乳恒牙鉴别。牙体形态的生理意义，</w:t>
      </w:r>
      <w:r>
        <w:rPr>
          <w:rFonts w:hint="eastAsia" w:ascii="宋体" w:hAnsi="宋体" w:cs="宋体"/>
          <w:color w:val="000000"/>
        </w:rPr>
        <w:t>牙齿排列及牙列牙合面形态特征。各类牙合、颌位的定义、特征、特点及意义。</w:t>
      </w:r>
      <w:r>
        <w:rPr>
          <w:rFonts w:hint="eastAsia" w:ascii="宋体" w:hAnsi="宋体" w:cs="宋体"/>
          <w:color w:val="000000"/>
          <w:w w:val="50"/>
        </w:rPr>
        <w:t>牙合</w:t>
      </w:r>
      <w:r>
        <w:rPr>
          <w:rFonts w:hint="eastAsia" w:ascii="宋体" w:hAnsi="宋体" w:cs="宋体"/>
          <w:color w:val="000000"/>
        </w:rPr>
        <w:t>的建立。颌位之间的关系。下颌运动的形式、范围及意义，下颌运动的制约因素。咀嚼运动过程及咀嚼周期，咀嚼运动的生物力学杠杆作用，咀嚼肌力、牙合力及牙周潜力。咀嚼效率定义方法影响因素。磨耗及磨损。咀嚼的作用与影响。</w:t>
      </w:r>
    </w:p>
    <w:p w14:paraId="74680931">
      <w:pPr>
        <w:spacing w:line="400" w:lineRule="exact"/>
        <w:ind w:firstLine="422" w:firstLineChars="200"/>
        <w:rPr>
          <w:rFonts w:ascii="宋体" w:hAnsi="宋体"/>
          <w:b/>
        </w:rPr>
      </w:pPr>
      <w:r>
        <w:rPr>
          <w:rFonts w:hint="eastAsia" w:ascii="Calibri" w:hAnsi="Calibri"/>
          <w:b/>
        </w:rPr>
        <w:t>3．口</w:t>
      </w:r>
      <w:r>
        <w:rPr>
          <w:rFonts w:hint="eastAsia" w:ascii="宋体" w:hAnsi="宋体" w:cs="黑体"/>
          <w:b/>
        </w:rPr>
        <w:t>腔内科学</w:t>
      </w:r>
    </w:p>
    <w:p w14:paraId="766E8FFF">
      <w:pPr>
        <w:spacing w:line="400" w:lineRule="exact"/>
        <w:ind w:firstLine="422" w:firstLineChars="200"/>
        <w:rPr>
          <w:rFonts w:ascii="宋体" w:hAnsi="宋体"/>
        </w:rPr>
      </w:pPr>
      <w:r>
        <w:rPr>
          <w:rFonts w:hint="eastAsia" w:ascii="宋体" w:hAnsi="宋体" w:cs="宋体"/>
          <w:b/>
        </w:rPr>
        <w:t>牙体牙髓病学：</w:t>
      </w:r>
      <w:r>
        <w:rPr>
          <w:rFonts w:hint="eastAsia" w:ascii="宋体" w:hAnsi="宋体" w:cs="宋体"/>
        </w:rPr>
        <w:t>龋病的概念，龋病病因和发病过程，龋病临床特征、诊断和治疗；牙体硬组织非龋性疾病；牙髓及根尖周组织生理学特点，牙髓病和根尖周病病因及发病机制，牙髓病和根尖周病检查和诊断方法，牙髓病的分类和临床表现，根尖周病的临床表现和诊断，活髓保存治疗，感染牙髓的治疗方法，根管治疗术。</w:t>
      </w:r>
    </w:p>
    <w:p w14:paraId="0060E4D5">
      <w:pPr>
        <w:spacing w:line="400" w:lineRule="exact"/>
        <w:ind w:firstLine="422" w:firstLineChars="200"/>
        <w:rPr>
          <w:rFonts w:ascii="宋体" w:hAnsi="宋体" w:cs="宋体"/>
        </w:rPr>
      </w:pPr>
      <w:r>
        <w:rPr>
          <w:rFonts w:hint="eastAsia" w:ascii="宋体" w:hAnsi="宋体" w:cs="宋体"/>
          <w:b/>
        </w:rPr>
        <w:t>牙周病学：</w:t>
      </w:r>
      <w:r>
        <w:rPr>
          <w:rFonts w:hint="eastAsia" w:ascii="宋体" w:hAnsi="宋体" w:cs="宋体"/>
        </w:rPr>
        <w:t>牙周组织的解剖和生理,牙周病的病因及发病机制；牙周病的主要症状和检查方法；</w:t>
      </w:r>
      <w:r>
        <w:rPr>
          <w:rFonts w:hint="eastAsia"/>
          <w:bCs/>
          <w:color w:val="000000"/>
        </w:rPr>
        <w:t>各种常见类型牙龈病的临床表现、诊断以及治疗原则；</w:t>
      </w:r>
      <w:r>
        <w:rPr>
          <w:color w:val="000000"/>
        </w:rPr>
        <w:t>慢性牙周炎</w:t>
      </w:r>
      <w:r>
        <w:rPr>
          <w:rFonts w:hint="eastAsia"/>
          <w:color w:val="000000"/>
        </w:rPr>
        <w:t>、侵袭性牙周炎、反应全身疾病的牙周炎</w:t>
      </w:r>
      <w:r>
        <w:rPr>
          <w:color w:val="000000"/>
        </w:rPr>
        <w:t>的临床特点、分型和分度、病程进展、治疗原则</w:t>
      </w:r>
      <w:r>
        <w:rPr>
          <w:rFonts w:hint="eastAsia"/>
          <w:color w:val="000000"/>
        </w:rPr>
        <w:t>；</w:t>
      </w:r>
      <w:r>
        <w:rPr>
          <w:rFonts w:hint="eastAsia" w:ascii="宋体" w:hAnsi="宋体" w:cs="宋体"/>
        </w:rPr>
        <w:t>牙龈病和牙周炎预后判断的依据，牙周病的治疗计划设计；牙周炎的伴发病变的临床表现、治疗原则；牙周基础治疗的内容和方法；牙周病药物治疗的原则及药物种类、使用方法；各类牙周手术的适应症、基本方法和术后组织愈合；牙周病疗效维护的必要性和方法；牙周病与全身疾病、口腔其他学科的关系。</w:t>
      </w:r>
    </w:p>
    <w:p w14:paraId="723D98EE">
      <w:pPr>
        <w:pStyle w:val="5"/>
        <w:spacing w:line="400" w:lineRule="exact"/>
        <w:ind w:firstLine="422" w:firstLineChars="200"/>
        <w:jc w:val="both"/>
        <w:rPr>
          <w:sz w:val="21"/>
          <w:szCs w:val="21"/>
        </w:rPr>
      </w:pPr>
      <w:r>
        <w:rPr>
          <w:rFonts w:hint="eastAsia"/>
          <w:b/>
          <w:sz w:val="21"/>
          <w:szCs w:val="21"/>
        </w:rPr>
        <w:t>口腔粘膜病学：</w:t>
      </w:r>
      <w:r>
        <w:rPr>
          <w:rFonts w:hint="eastAsia"/>
          <w:color w:val="000000"/>
          <w:sz w:val="21"/>
          <w:szCs w:val="21"/>
          <w:shd w:val="clear" w:color="auto" w:fill="FFFFFF"/>
        </w:rPr>
        <w:t>口腔黏膜常见病、多发病的病因、发病机理、临床表现、诊断、鉴别诊断、治疗原则。</w:t>
      </w:r>
    </w:p>
    <w:p w14:paraId="760AC191">
      <w:pPr>
        <w:spacing w:line="400" w:lineRule="exact"/>
        <w:ind w:firstLine="422" w:firstLineChars="200"/>
        <w:rPr>
          <w:b/>
          <w:bCs/>
        </w:rPr>
      </w:pPr>
      <w:r>
        <w:rPr>
          <w:rFonts w:hint="eastAsia"/>
          <w:b/>
          <w:bCs/>
        </w:rPr>
        <w:t>4．口腔颌面外科学</w:t>
      </w:r>
    </w:p>
    <w:p w14:paraId="403894C0">
      <w:pPr>
        <w:spacing w:line="400" w:lineRule="exact"/>
        <w:ind w:firstLine="420" w:firstLineChars="200"/>
        <w:rPr>
          <w:bCs/>
          <w:color w:val="000000"/>
        </w:rPr>
      </w:pPr>
      <w:r>
        <w:rPr>
          <w:rFonts w:hint="eastAsia"/>
          <w:bCs/>
        </w:rPr>
        <w:t>口腔颌面外科基础知识与基本操作；口腔颌面外科麻醉；牙及牙槽外科；口腔种植外科；口腔颌面部感染；口腔颌面部损伤；口腔颌面部肿瘤；唾液腺疾病；</w:t>
      </w:r>
      <w:r>
        <w:rPr>
          <w:bCs/>
        </w:rPr>
        <w:t xml:space="preserve"> </w:t>
      </w:r>
      <w:r>
        <w:rPr>
          <w:rFonts w:hint="eastAsia"/>
          <w:bCs/>
        </w:rPr>
        <w:t>颞下颌关节疾病；颌面部神经疾患；先天性唇腭裂与颅面裂；牙颌面畸形；颌骨牵张成骨；口腔颌面部后天畸形和缺损；功能性外科与计算机辅助外科；睡眠呼吸障碍疾病；口腔颌面微创外科。</w:t>
      </w:r>
    </w:p>
    <w:p w14:paraId="1AE3D484">
      <w:pPr>
        <w:spacing w:line="400" w:lineRule="exact"/>
        <w:ind w:firstLine="422" w:firstLineChars="200"/>
        <w:rPr>
          <w:b/>
          <w:bCs/>
        </w:rPr>
      </w:pPr>
      <w:r>
        <w:rPr>
          <w:rFonts w:hint="eastAsia"/>
          <w:b/>
          <w:bCs/>
        </w:rPr>
        <w:t>5．口腔修复学</w:t>
      </w:r>
    </w:p>
    <w:p w14:paraId="040FDB0E">
      <w:pPr>
        <w:spacing w:line="400" w:lineRule="exact"/>
        <w:ind w:firstLine="420" w:firstLineChars="200"/>
        <w:rPr>
          <w:rFonts w:hint="eastAsia"/>
          <w:bCs/>
        </w:rPr>
      </w:pPr>
      <w:r>
        <w:rPr>
          <w:rFonts w:hint="eastAsia"/>
          <w:bCs/>
        </w:rPr>
        <w:t>修复前准备及处理；各类修复体的印模技术；牙体缺损修复的概述、修复原则、固位原理及临床应用、暂时修复体、比色；全冠、嵌体、桩核冠、贴面等修复体类型的适应证、禁忌证、</w:t>
      </w:r>
      <w:r>
        <w:rPr>
          <w:rFonts w:hint="eastAsia" w:eastAsia="宋体" w:cs="Times New Roman"/>
          <w:bCs/>
        </w:rPr>
        <w:t>设计与临床应用选择、临床操作、粘固与调合，及其修复后可能出现的问题和处理；固定局部义齿的组成与类型、生理基础及适应证、设计、固位和稳定、临床操作步骤、制作、修复后可能出现的问题及处理；可摘局部义齿的概述、分类、模型观测、组成及作用、设计、治疗序列、初戴、戴入后可能出现的问题及处理；全口义齿的概述、无牙颌解剖标志及其临床意义、固位和稳定、修复前准备、制作、初戴、戴用义齿后可能出现的问题及处理；即刻全口义齿和单颌全口义齿；了解可摘局部义齿的制作工艺、可摘局部义齿和全口义齿的修理；</w:t>
      </w:r>
      <w:r>
        <w:rPr>
          <w:rFonts w:hint="eastAsia"/>
          <w:bCs/>
        </w:rPr>
        <w:t>覆盖义齿、套筒冠义齿、种植义齿等的概念、适应证、优缺点等内容；咬合病的概念、临床表现和调</w:t>
      </w:r>
      <w:r>
        <w:rPr>
          <w:rFonts w:hint="eastAsia"/>
          <w:bCs/>
          <w:w w:val="50"/>
          <w:sz w:val="20"/>
        </w:rPr>
        <w:t>牙合</w:t>
      </w:r>
      <w:r>
        <w:rPr>
          <w:rFonts w:hint="eastAsia"/>
          <w:bCs/>
        </w:rPr>
        <w:t>；食物嵌塞的原因、分型、治疗；口腔修复中数字化技术的相关概念。</w:t>
      </w:r>
    </w:p>
    <w:p w14:paraId="35C532BC">
      <w:pPr>
        <w:spacing w:line="400" w:lineRule="exact"/>
        <w:ind w:firstLine="422" w:firstLineChars="200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6．口腔正畸学</w:t>
      </w:r>
    </w:p>
    <w:p w14:paraId="29450899">
      <w:pPr>
        <w:spacing w:line="400" w:lineRule="exact"/>
        <w:ind w:firstLine="420"/>
        <w:rPr>
          <w:rFonts w:hint="eastAsia"/>
          <w:bCs/>
          <w:color w:val="000000"/>
        </w:rPr>
      </w:pPr>
      <w:r>
        <w:rPr>
          <w:rFonts w:hint="eastAsia"/>
          <w:bCs/>
          <w:color w:val="000000"/>
        </w:rPr>
        <w:t>错合畸形的临床表现；个别正常合和理想正常合；错合畸形的矫治方法和矫治器；错合畸形矫治的标准和目标；生长与发育的定义和概念；不同组织系统的生长发育型；颅面部划分标准；颅面部生长发育的研究方法；出生后颅部、面部和颌骨的生长发育的情况；合的发育阶段；错牙合畸形的遗传因素；错牙合畸形的后天因素（乳牙期及替牙期的局部障碍；功能因素；口腔不良习惯）；Angle理想合的特征；</w:t>
      </w:r>
      <w:r>
        <w:rPr>
          <w:bCs/>
          <w:color w:val="000000"/>
        </w:rPr>
        <w:t>Angle</w:t>
      </w:r>
      <w:r>
        <w:rPr>
          <w:rFonts w:hint="eastAsia"/>
          <w:bCs/>
          <w:color w:val="000000"/>
        </w:rPr>
        <w:t>错牙合分类法与毛燮均错牙合分类法；错牙合畸形的检查诊断；</w:t>
      </w:r>
      <w:r>
        <w:rPr>
          <w:bCs/>
          <w:color w:val="000000"/>
        </w:rPr>
        <w:t>牙、颌、面的检查及病历书写的规范</w:t>
      </w:r>
      <w:r>
        <w:rPr>
          <w:rFonts w:hint="eastAsia"/>
          <w:bCs/>
          <w:color w:val="000000"/>
        </w:rPr>
        <w:t>；</w:t>
      </w:r>
      <w:r>
        <w:rPr>
          <w:bCs/>
          <w:color w:val="000000"/>
        </w:rPr>
        <w:t>模型</w:t>
      </w:r>
      <w:r>
        <w:rPr>
          <w:rFonts w:hint="eastAsia"/>
          <w:bCs/>
          <w:color w:val="000000"/>
        </w:rPr>
        <w:t>分析；记存模型的制作；</w:t>
      </w:r>
      <w:r>
        <w:rPr>
          <w:bCs/>
          <w:color w:val="000000"/>
        </w:rPr>
        <w:t>常用X线头影测量标志点</w:t>
      </w:r>
      <w:r>
        <w:rPr>
          <w:rFonts w:hint="eastAsia"/>
          <w:bCs/>
          <w:color w:val="000000"/>
        </w:rPr>
        <w:t>、</w:t>
      </w:r>
      <w:r>
        <w:rPr>
          <w:bCs/>
          <w:color w:val="000000"/>
        </w:rPr>
        <w:t>测量平面</w:t>
      </w:r>
      <w:r>
        <w:rPr>
          <w:rFonts w:hint="eastAsia"/>
          <w:bCs/>
          <w:color w:val="000000"/>
        </w:rPr>
        <w:t>、应用及临床常用分析方法；正畸矫治的生物力学基本知识；正畸矫治的生物学基础；正畸治疗中的组织变化；常见牙齿移动类型与组织变化特征；矫治器概述；支抗的概念、在正畸治疗中的意义、种类及加强支抗的方法；功能矫治器作用机制和适应症；活动矫治器和矫治技术；功能矫治器的作用机制和适应证；方丝弓矫治器和矫治技术；正常合六项标准；口内、口外矫形力；错合畸形的早期预防和矫治；常见错合畸形的矫治原则；错合畸形的多学科联合治疗；成人正畸治疗；成年人与青少年正畸治疗的不同；成年人正畸治疗的分类，掌握成人小范围牙移动（minor tooth movement，MTM）的概念、矫治特点；适宜进行正畸治疗的牙周基本条件；牙周病患者正畸治疗原则；微螺钉型种植体支抗的临床应用；正畸治疗中的釉质脱矿和牙周组织炎症；保持的原因及影响保持的因素；保持器的种类和保持期限；复发的预防和复发后的处理。</w:t>
      </w:r>
    </w:p>
    <w:p w14:paraId="3F46E4BC">
      <w:pPr>
        <w:spacing w:line="400" w:lineRule="exact"/>
        <w:ind w:firstLine="420"/>
        <w:rPr>
          <w:rFonts w:hint="eastAsia"/>
          <w:bCs/>
          <w:color w:val="000000"/>
        </w:rPr>
      </w:pPr>
    </w:p>
    <w:p w14:paraId="362247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黑体" w:hAnsi="黑体" w:eastAsia="黑体" w:cs="黑体"/>
          <w:b w:val="0"/>
          <w:bCs w:val="0"/>
        </w:rPr>
      </w:pPr>
      <w:r>
        <w:rPr>
          <w:rFonts w:hint="eastAsia" w:ascii="黑体" w:hAnsi="黑体" w:eastAsia="黑体" w:cs="黑体"/>
          <w:b w:val="0"/>
          <w:bCs w:val="0"/>
        </w:rPr>
        <w:t>四、考试形式和试卷结构</w:t>
      </w:r>
    </w:p>
    <w:p w14:paraId="5F97A50A">
      <w:pPr>
        <w:spacing w:line="400" w:lineRule="exact"/>
        <w:ind w:firstLine="422" w:firstLineChars="200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1．考试时间</w:t>
      </w:r>
    </w:p>
    <w:p w14:paraId="19AEC8E5">
      <w:pPr>
        <w:spacing w:line="400" w:lineRule="exact"/>
        <w:ind w:firstLine="420" w:firstLineChars="200"/>
        <w:rPr>
          <w:bCs/>
          <w:color w:val="000000"/>
        </w:rPr>
      </w:pPr>
      <w:r>
        <w:rPr>
          <w:rFonts w:hint="eastAsia"/>
          <w:bCs/>
          <w:color w:val="000000"/>
        </w:rPr>
        <w:t>考试时间为</w:t>
      </w:r>
      <w:r>
        <w:rPr>
          <w:bCs/>
          <w:color w:val="000000"/>
        </w:rPr>
        <w:t>180</w:t>
      </w:r>
      <w:r>
        <w:rPr>
          <w:rFonts w:hint="eastAsia"/>
          <w:bCs/>
          <w:color w:val="000000"/>
        </w:rPr>
        <w:t>分钟。</w:t>
      </w:r>
    </w:p>
    <w:p w14:paraId="2DE85966">
      <w:pPr>
        <w:spacing w:line="400" w:lineRule="exact"/>
        <w:ind w:firstLine="422" w:firstLineChars="200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2．答题方式</w:t>
      </w:r>
    </w:p>
    <w:p w14:paraId="73364C8D">
      <w:pPr>
        <w:spacing w:line="400" w:lineRule="exact"/>
        <w:ind w:firstLine="420" w:firstLineChars="200"/>
        <w:rPr>
          <w:bCs/>
          <w:color w:val="000000"/>
        </w:rPr>
      </w:pPr>
      <w:r>
        <w:rPr>
          <w:rFonts w:hint="eastAsia"/>
          <w:bCs/>
          <w:color w:val="000000"/>
        </w:rPr>
        <w:t>答题方式为闭卷、笔试。</w:t>
      </w:r>
    </w:p>
    <w:p w14:paraId="080E274D">
      <w:pPr>
        <w:spacing w:line="400" w:lineRule="exact"/>
        <w:ind w:firstLine="420" w:firstLineChars="200"/>
        <w:rPr>
          <w:bCs/>
          <w:color w:val="000000"/>
        </w:rPr>
      </w:pPr>
      <w:r>
        <w:rPr>
          <w:rFonts w:hint="eastAsia"/>
          <w:bCs/>
          <w:color w:val="000000"/>
        </w:rPr>
        <w:t>试卷由试题和答题纸组成。答案必须写在答题纸相应的位置上。</w:t>
      </w:r>
    </w:p>
    <w:p w14:paraId="50A59C9A">
      <w:pPr>
        <w:spacing w:line="400" w:lineRule="exact"/>
        <w:ind w:firstLine="422" w:firstLineChars="200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3．试卷满分及考查内容分数分配</w:t>
      </w:r>
    </w:p>
    <w:p w14:paraId="3F7CAA21">
      <w:pPr>
        <w:spacing w:line="400" w:lineRule="exact"/>
        <w:ind w:firstLine="420" w:firstLineChars="200"/>
        <w:rPr>
          <w:bCs/>
          <w:color w:val="000000"/>
        </w:rPr>
      </w:pPr>
      <w:r>
        <w:rPr>
          <w:rFonts w:hint="eastAsia"/>
          <w:bCs/>
          <w:color w:val="000000"/>
        </w:rPr>
        <w:t>试卷满分为</w:t>
      </w:r>
      <w:r>
        <w:rPr>
          <w:bCs/>
          <w:color w:val="000000"/>
        </w:rPr>
        <w:t>300</w:t>
      </w:r>
      <w:r>
        <w:rPr>
          <w:rFonts w:hint="eastAsia"/>
          <w:bCs/>
          <w:color w:val="000000"/>
        </w:rPr>
        <w:t>分。其中口腔组织病理学</w:t>
      </w:r>
      <w:r>
        <w:rPr>
          <w:bCs/>
          <w:color w:val="000000"/>
        </w:rPr>
        <w:t>50</w:t>
      </w:r>
      <w:r>
        <w:rPr>
          <w:rFonts w:hint="eastAsia"/>
          <w:bCs/>
          <w:color w:val="000000"/>
        </w:rPr>
        <w:t>分，口腔解剖生理学</w:t>
      </w:r>
      <w:r>
        <w:rPr>
          <w:bCs/>
          <w:color w:val="000000"/>
        </w:rPr>
        <w:t>50</w:t>
      </w:r>
      <w:r>
        <w:rPr>
          <w:rFonts w:hint="eastAsia"/>
          <w:bCs/>
          <w:color w:val="000000"/>
        </w:rPr>
        <w:t>分（牙体解剖牙合生理</w:t>
      </w:r>
      <w:r>
        <w:rPr>
          <w:bCs/>
          <w:color w:val="000000"/>
        </w:rPr>
        <w:t>25</w:t>
      </w:r>
      <w:r>
        <w:rPr>
          <w:rFonts w:hint="eastAsia"/>
          <w:bCs/>
          <w:color w:val="000000"/>
        </w:rPr>
        <w:t>分，口腔局部解剖</w:t>
      </w:r>
      <w:r>
        <w:rPr>
          <w:bCs/>
          <w:color w:val="000000"/>
        </w:rPr>
        <w:t>25</w:t>
      </w:r>
      <w:r>
        <w:rPr>
          <w:rFonts w:hint="eastAsia"/>
          <w:bCs/>
          <w:color w:val="000000"/>
        </w:rPr>
        <w:t>分），口腔内科学</w:t>
      </w:r>
      <w:r>
        <w:rPr>
          <w:bCs/>
          <w:color w:val="000000"/>
        </w:rPr>
        <w:t>50</w:t>
      </w:r>
      <w:r>
        <w:rPr>
          <w:rFonts w:hint="eastAsia"/>
          <w:bCs/>
          <w:color w:val="000000"/>
        </w:rPr>
        <w:t>分（牙体牙髓病学、牙周病学、口腔粘膜病学），口腔颌面外科学</w:t>
      </w:r>
      <w:r>
        <w:rPr>
          <w:bCs/>
          <w:color w:val="000000"/>
        </w:rPr>
        <w:t xml:space="preserve"> 50</w:t>
      </w:r>
      <w:r>
        <w:rPr>
          <w:rFonts w:hint="eastAsia"/>
          <w:bCs/>
          <w:color w:val="000000"/>
        </w:rPr>
        <w:t>分，口腔修复学</w:t>
      </w:r>
      <w:r>
        <w:rPr>
          <w:bCs/>
          <w:color w:val="000000"/>
        </w:rPr>
        <w:t>50</w:t>
      </w:r>
      <w:r>
        <w:rPr>
          <w:rFonts w:hint="eastAsia"/>
          <w:bCs/>
          <w:color w:val="000000"/>
        </w:rPr>
        <w:t>分，口腔正畸学</w:t>
      </w:r>
      <w:r>
        <w:rPr>
          <w:bCs/>
          <w:color w:val="000000"/>
        </w:rPr>
        <w:t>50</w:t>
      </w:r>
      <w:r>
        <w:rPr>
          <w:rFonts w:hint="eastAsia"/>
          <w:bCs/>
          <w:color w:val="000000"/>
        </w:rPr>
        <w:t>分。</w:t>
      </w:r>
    </w:p>
    <w:p w14:paraId="7FDDB4D7">
      <w:pPr>
        <w:spacing w:line="400" w:lineRule="exact"/>
        <w:ind w:firstLine="422" w:firstLineChars="200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4．试题类型</w:t>
      </w:r>
    </w:p>
    <w:p w14:paraId="1CF8080E">
      <w:pPr>
        <w:spacing w:line="400" w:lineRule="exact"/>
        <w:ind w:firstLine="420" w:firstLineChars="200"/>
        <w:rPr>
          <w:rFonts w:hint="eastAsia"/>
          <w:bCs/>
        </w:rPr>
      </w:pPr>
      <w:r>
        <w:rPr>
          <w:rFonts w:hint="eastAsia"/>
          <w:bCs/>
        </w:rPr>
        <w:t>试题类型包括选择题、名词解释、简答题、问答题。</w:t>
      </w:r>
    </w:p>
    <w:p w14:paraId="055C66B7">
      <w:pPr>
        <w:spacing w:line="400" w:lineRule="exact"/>
        <w:ind w:firstLine="420" w:firstLineChars="200"/>
        <w:rPr>
          <w:rFonts w:hint="eastAsia"/>
          <w:bCs/>
        </w:rPr>
      </w:pPr>
    </w:p>
    <w:p w14:paraId="058AE5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黑体" w:hAnsi="黑体" w:eastAsia="黑体" w:cs="黑体"/>
          <w:b w:val="0"/>
          <w:bCs w:val="0"/>
        </w:rPr>
      </w:pPr>
      <w:r>
        <w:rPr>
          <w:rFonts w:hint="eastAsia" w:ascii="黑体" w:hAnsi="黑体" w:eastAsia="黑体" w:cs="黑体"/>
          <w:b w:val="0"/>
          <w:bCs w:val="0"/>
        </w:rPr>
        <w:t>五、参考书目</w:t>
      </w:r>
    </w:p>
    <w:p w14:paraId="20764E87">
      <w:pPr>
        <w:spacing w:line="400" w:lineRule="exact"/>
        <w:rPr>
          <w:rFonts w:hint="eastAsia"/>
          <w:bCs/>
        </w:rPr>
      </w:pPr>
      <w:r>
        <w:rPr>
          <w:rFonts w:hint="eastAsia"/>
          <w:bCs/>
        </w:rPr>
        <w:t xml:space="preserve">    《口腔组织病理学》高岩主编，第八版，人民卫生出版社，2020年</w:t>
      </w:r>
    </w:p>
    <w:p w14:paraId="0AC26F50">
      <w:pPr>
        <w:spacing w:line="400" w:lineRule="exact"/>
        <w:rPr>
          <w:rFonts w:hint="eastAsia"/>
          <w:bCs/>
        </w:rPr>
      </w:pPr>
      <w:r>
        <w:rPr>
          <w:rFonts w:hint="eastAsia"/>
          <w:bCs/>
        </w:rPr>
        <w:t xml:space="preserve">    《口腔解剖生理学》何三纲主编，第八版，人民卫生出版社，2020年</w:t>
      </w:r>
    </w:p>
    <w:p w14:paraId="15AF426B">
      <w:pPr>
        <w:spacing w:line="312" w:lineRule="auto"/>
        <w:rPr>
          <w:bCs/>
        </w:rPr>
      </w:pPr>
      <w:r>
        <w:rPr>
          <w:rFonts w:hint="eastAsia"/>
          <w:bCs/>
        </w:rPr>
        <w:t xml:space="preserve">    《牙体牙髓病学》周学东主编，第五版，人民卫生出版社，</w:t>
      </w:r>
      <w:r>
        <w:rPr>
          <w:bCs/>
        </w:rPr>
        <w:t>20</w:t>
      </w:r>
      <w:r>
        <w:rPr>
          <w:rFonts w:hint="eastAsia"/>
          <w:bCs/>
        </w:rPr>
        <w:t>20</w:t>
      </w:r>
      <w:r>
        <w:rPr>
          <w:bCs/>
        </w:rPr>
        <w:t>年</w:t>
      </w:r>
    </w:p>
    <w:p w14:paraId="591F1C96">
      <w:pPr>
        <w:spacing w:line="312" w:lineRule="auto"/>
        <w:rPr>
          <w:bCs/>
        </w:rPr>
      </w:pPr>
      <w:r>
        <w:rPr>
          <w:rFonts w:hint="eastAsia"/>
          <w:bCs/>
        </w:rPr>
        <w:t xml:space="preserve">    《牙周病学》孟焕新主编，第五版，人民卫生出版社，</w:t>
      </w:r>
      <w:r>
        <w:rPr>
          <w:bCs/>
        </w:rPr>
        <w:t>20</w:t>
      </w:r>
      <w:r>
        <w:rPr>
          <w:rFonts w:hint="eastAsia"/>
          <w:bCs/>
        </w:rPr>
        <w:t>20</w:t>
      </w:r>
      <w:r>
        <w:rPr>
          <w:bCs/>
        </w:rPr>
        <w:t>年</w:t>
      </w:r>
    </w:p>
    <w:p w14:paraId="25D33311">
      <w:pPr>
        <w:spacing w:line="312" w:lineRule="auto"/>
        <w:rPr>
          <w:bCs/>
        </w:rPr>
      </w:pPr>
      <w:r>
        <w:rPr>
          <w:rFonts w:hint="eastAsia"/>
          <w:bCs/>
        </w:rPr>
        <w:t xml:space="preserve">    《口腔粘膜病学》陈谦明主编，第五版，人民卫生出版社，</w:t>
      </w:r>
      <w:r>
        <w:rPr>
          <w:bCs/>
        </w:rPr>
        <w:t>20</w:t>
      </w:r>
      <w:r>
        <w:rPr>
          <w:rFonts w:hint="eastAsia"/>
          <w:bCs/>
        </w:rPr>
        <w:t>20</w:t>
      </w:r>
      <w:r>
        <w:rPr>
          <w:bCs/>
        </w:rPr>
        <w:t>年</w:t>
      </w:r>
    </w:p>
    <w:p w14:paraId="7B076527">
      <w:pPr>
        <w:tabs>
          <w:tab w:val="left" w:pos="2127"/>
        </w:tabs>
        <w:spacing w:line="312" w:lineRule="auto"/>
        <w:rPr>
          <w:bCs/>
        </w:rPr>
      </w:pPr>
      <w:r>
        <w:rPr>
          <w:rFonts w:hint="eastAsia"/>
          <w:bCs/>
        </w:rPr>
        <w:t xml:space="preserve">    《口腔颌面外科学》张志愿主编，第八版，人民卫生出版社，</w:t>
      </w:r>
      <w:r>
        <w:rPr>
          <w:bCs/>
        </w:rPr>
        <w:t>202</w:t>
      </w:r>
      <w:r>
        <w:rPr>
          <w:rFonts w:hint="eastAsia"/>
          <w:bCs/>
        </w:rPr>
        <w:t>0</w:t>
      </w:r>
      <w:r>
        <w:rPr>
          <w:bCs/>
        </w:rPr>
        <w:t>年</w:t>
      </w:r>
    </w:p>
    <w:p w14:paraId="5BD26C86">
      <w:pPr>
        <w:tabs>
          <w:tab w:val="left" w:pos="2127"/>
        </w:tabs>
        <w:spacing w:line="312" w:lineRule="auto"/>
        <w:rPr>
          <w:bCs/>
        </w:rPr>
      </w:pPr>
      <w:r>
        <w:rPr>
          <w:rFonts w:hint="eastAsia"/>
          <w:bCs/>
        </w:rPr>
        <w:t xml:space="preserve">    《口腔正畸学》赵志河主编，第七版，人民卫生出版社，</w:t>
      </w:r>
      <w:r>
        <w:rPr>
          <w:bCs/>
        </w:rPr>
        <w:t>20</w:t>
      </w:r>
      <w:r>
        <w:rPr>
          <w:rFonts w:hint="eastAsia"/>
          <w:bCs/>
        </w:rPr>
        <w:t>20</w:t>
      </w:r>
      <w:r>
        <w:rPr>
          <w:bCs/>
        </w:rPr>
        <w:t>年</w:t>
      </w:r>
    </w:p>
    <w:p w14:paraId="4D8380EA">
      <w:pPr>
        <w:spacing w:line="400" w:lineRule="exact"/>
        <w:rPr>
          <w:bCs/>
        </w:rPr>
      </w:pPr>
      <w:r>
        <w:rPr>
          <w:rFonts w:hint="eastAsia"/>
          <w:bCs/>
        </w:rPr>
        <w:t xml:space="preserve">    《口腔修复学》赵铱民主编，第八版，人民卫生出版社，</w:t>
      </w:r>
      <w:r>
        <w:rPr>
          <w:bCs/>
        </w:rPr>
        <w:t>20</w:t>
      </w:r>
      <w:r>
        <w:rPr>
          <w:rFonts w:hint="eastAsia"/>
          <w:bCs/>
        </w:rPr>
        <w:t>20</w:t>
      </w:r>
      <w:r>
        <w:rPr>
          <w:bCs/>
        </w:rPr>
        <w:t>年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jNjZkMzM2YTMzODJkMGVhYWVkY2E5MDM2ZWRjYjQifQ=="/>
  </w:docVars>
  <w:rsids>
    <w:rsidRoot w:val="00B63A82"/>
    <w:rsid w:val="000047E7"/>
    <w:rsid w:val="00007669"/>
    <w:rsid w:val="00023A2D"/>
    <w:rsid w:val="000979D7"/>
    <w:rsid w:val="000A323C"/>
    <w:rsid w:val="000B3E57"/>
    <w:rsid w:val="000C2CA5"/>
    <w:rsid w:val="000E3171"/>
    <w:rsid w:val="0010359C"/>
    <w:rsid w:val="0010686B"/>
    <w:rsid w:val="00110AD9"/>
    <w:rsid w:val="001259CB"/>
    <w:rsid w:val="001265CE"/>
    <w:rsid w:val="00136890"/>
    <w:rsid w:val="00143BBE"/>
    <w:rsid w:val="001602E0"/>
    <w:rsid w:val="00190420"/>
    <w:rsid w:val="001C0DD8"/>
    <w:rsid w:val="001E27B9"/>
    <w:rsid w:val="001F29FA"/>
    <w:rsid w:val="0020339F"/>
    <w:rsid w:val="002039B5"/>
    <w:rsid w:val="002476E0"/>
    <w:rsid w:val="002576C3"/>
    <w:rsid w:val="00272586"/>
    <w:rsid w:val="002B6067"/>
    <w:rsid w:val="002C3487"/>
    <w:rsid w:val="002C61AF"/>
    <w:rsid w:val="002D0C7A"/>
    <w:rsid w:val="002D38DF"/>
    <w:rsid w:val="003441BF"/>
    <w:rsid w:val="00346375"/>
    <w:rsid w:val="00362DAF"/>
    <w:rsid w:val="003A611F"/>
    <w:rsid w:val="003B6A02"/>
    <w:rsid w:val="003C19EA"/>
    <w:rsid w:val="003D597C"/>
    <w:rsid w:val="00404C73"/>
    <w:rsid w:val="00415A56"/>
    <w:rsid w:val="00454753"/>
    <w:rsid w:val="0046105B"/>
    <w:rsid w:val="004A4A21"/>
    <w:rsid w:val="004B5947"/>
    <w:rsid w:val="004C35B3"/>
    <w:rsid w:val="004F58B5"/>
    <w:rsid w:val="005067AA"/>
    <w:rsid w:val="005162B6"/>
    <w:rsid w:val="00550D39"/>
    <w:rsid w:val="00585957"/>
    <w:rsid w:val="005C36FA"/>
    <w:rsid w:val="005D5D43"/>
    <w:rsid w:val="005F1F88"/>
    <w:rsid w:val="005F67FC"/>
    <w:rsid w:val="006047EA"/>
    <w:rsid w:val="00610BDD"/>
    <w:rsid w:val="006231BE"/>
    <w:rsid w:val="006551AE"/>
    <w:rsid w:val="00682D45"/>
    <w:rsid w:val="006D08C0"/>
    <w:rsid w:val="006E23C3"/>
    <w:rsid w:val="007219A7"/>
    <w:rsid w:val="00723D41"/>
    <w:rsid w:val="00725978"/>
    <w:rsid w:val="007309C6"/>
    <w:rsid w:val="00730DC9"/>
    <w:rsid w:val="00731D4A"/>
    <w:rsid w:val="007435D7"/>
    <w:rsid w:val="007438FC"/>
    <w:rsid w:val="007515BF"/>
    <w:rsid w:val="007706BD"/>
    <w:rsid w:val="00771A97"/>
    <w:rsid w:val="00774130"/>
    <w:rsid w:val="00801234"/>
    <w:rsid w:val="00826953"/>
    <w:rsid w:val="00846B98"/>
    <w:rsid w:val="00861311"/>
    <w:rsid w:val="008A6E7C"/>
    <w:rsid w:val="008E69E6"/>
    <w:rsid w:val="008F216E"/>
    <w:rsid w:val="00913629"/>
    <w:rsid w:val="009469A1"/>
    <w:rsid w:val="009960E1"/>
    <w:rsid w:val="009A0627"/>
    <w:rsid w:val="009D092B"/>
    <w:rsid w:val="00A134A7"/>
    <w:rsid w:val="00A30E9C"/>
    <w:rsid w:val="00A53C24"/>
    <w:rsid w:val="00AC0CAC"/>
    <w:rsid w:val="00AC1BB2"/>
    <w:rsid w:val="00AD5024"/>
    <w:rsid w:val="00B07B13"/>
    <w:rsid w:val="00B23181"/>
    <w:rsid w:val="00B32E0D"/>
    <w:rsid w:val="00B42D5A"/>
    <w:rsid w:val="00B639DE"/>
    <w:rsid w:val="00B63A82"/>
    <w:rsid w:val="00B65508"/>
    <w:rsid w:val="00B81169"/>
    <w:rsid w:val="00B97F34"/>
    <w:rsid w:val="00BE512E"/>
    <w:rsid w:val="00BF557D"/>
    <w:rsid w:val="00C13ED1"/>
    <w:rsid w:val="00C41B5C"/>
    <w:rsid w:val="00CA2DC3"/>
    <w:rsid w:val="00CB281B"/>
    <w:rsid w:val="00CC658F"/>
    <w:rsid w:val="00CE0BB5"/>
    <w:rsid w:val="00CE2CC5"/>
    <w:rsid w:val="00CE34CE"/>
    <w:rsid w:val="00CF1DC5"/>
    <w:rsid w:val="00CF4CC5"/>
    <w:rsid w:val="00D542B6"/>
    <w:rsid w:val="00D801AA"/>
    <w:rsid w:val="00D93197"/>
    <w:rsid w:val="00D951DC"/>
    <w:rsid w:val="00DB161A"/>
    <w:rsid w:val="00DC3F2A"/>
    <w:rsid w:val="00DC7E17"/>
    <w:rsid w:val="00DD6CED"/>
    <w:rsid w:val="00DD7CAE"/>
    <w:rsid w:val="00E04209"/>
    <w:rsid w:val="00EA3CB8"/>
    <w:rsid w:val="00EE7A87"/>
    <w:rsid w:val="00F21E8F"/>
    <w:rsid w:val="00F35571"/>
    <w:rsid w:val="00F614D8"/>
    <w:rsid w:val="00F76551"/>
    <w:rsid w:val="00F8114E"/>
    <w:rsid w:val="00F9038D"/>
    <w:rsid w:val="00FA06EC"/>
    <w:rsid w:val="00FA4DB1"/>
    <w:rsid w:val="11CE29E3"/>
    <w:rsid w:val="141E7D84"/>
    <w:rsid w:val="286F62C4"/>
    <w:rsid w:val="32A7130A"/>
    <w:rsid w:val="34D33D01"/>
    <w:rsid w:val="36EE53B2"/>
    <w:rsid w:val="6FEFEC40"/>
    <w:rsid w:val="729C3475"/>
    <w:rsid w:val="7CEC70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name="header"/>
    <w:lsdException w:unhideWhenUsed="0" w:uiPriority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 w:locked="1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iPriority w:val="0"/>
    <w:rPr>
      <w:kern w:val="0"/>
      <w:sz w:val="2"/>
      <w:szCs w:val="2"/>
    </w:rPr>
  </w:style>
  <w:style w:type="paragraph" w:styleId="3">
    <w:name w:val="footer"/>
    <w:basedOn w:val="1"/>
    <w:link w:val="9"/>
    <w:semiHidden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4">
    <w:name w:val="header"/>
    <w:basedOn w:val="1"/>
    <w:link w:val="10"/>
    <w:semiHidden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paragraph" w:styleId="5">
    <w:name w:val="HTML Preformatted"/>
    <w:basedOn w:val="1"/>
    <w:link w:val="1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kern w:val="0"/>
      <w:sz w:val="20"/>
      <w:szCs w:val="20"/>
    </w:rPr>
  </w:style>
  <w:style w:type="character" w:customStyle="1" w:styleId="8">
    <w:name w:val="批注框文本 Char"/>
    <w:link w:val="2"/>
    <w:semiHidden/>
    <w:locked/>
    <w:uiPriority w:val="0"/>
    <w:rPr>
      <w:rFonts w:ascii="Times New Roman" w:hAnsi="Times New Roman" w:cs="Times New Roman"/>
      <w:sz w:val="2"/>
      <w:szCs w:val="2"/>
    </w:rPr>
  </w:style>
  <w:style w:type="character" w:customStyle="1" w:styleId="9">
    <w:name w:val="页脚 Char"/>
    <w:link w:val="3"/>
    <w:semiHidden/>
    <w:locked/>
    <w:uiPriority w:val="0"/>
    <w:rPr>
      <w:rFonts w:cs="Times New Roman"/>
      <w:sz w:val="18"/>
      <w:szCs w:val="18"/>
    </w:rPr>
  </w:style>
  <w:style w:type="character" w:customStyle="1" w:styleId="10">
    <w:name w:val="页眉 Char"/>
    <w:link w:val="4"/>
    <w:semiHidden/>
    <w:locked/>
    <w:uiPriority w:val="0"/>
    <w:rPr>
      <w:rFonts w:cs="Times New Roman"/>
      <w:sz w:val="18"/>
      <w:szCs w:val="18"/>
    </w:rPr>
  </w:style>
  <w:style w:type="character" w:customStyle="1" w:styleId="11">
    <w:name w:val="HTML 预设格式 Char"/>
    <w:link w:val="5"/>
    <w:semiHidden/>
    <w:locked/>
    <w:uiPriority w:val="0"/>
    <w:rPr>
      <w:rFonts w:ascii="Courier New" w:hAnsi="Courier New" w:cs="Courier New"/>
      <w:sz w:val="20"/>
      <w:szCs w:val="20"/>
    </w:rPr>
  </w:style>
  <w:style w:type="paragraph" w:customStyle="1" w:styleId="12">
    <w:name w:val="No Spacing"/>
    <w:uiPriority w:val="0"/>
    <w:pPr>
      <w:widowControl w:val="0"/>
      <w:jc w:val="both"/>
    </w:pPr>
    <w:rPr>
      <w:rFonts w:cs="Calibri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4</Pages>
  <Words>3531</Words>
  <Characters>3595</Characters>
  <Lines>26</Lines>
  <Paragraphs>7</Paragraphs>
  <TotalTime>0</TotalTime>
  <ScaleCrop>false</ScaleCrop>
  <LinksUpToDate>false</LinksUpToDate>
  <CharactersWithSpaces>3632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2011-07-21T14:13:00Z</dcterms:created>
  <dc:creator>山东大学研究生招生办公室; Lenovo User</dc:creator>
  <dc:description>山东大学2011年硕士研究生入学考试自命题考试大纲</dc:description>
  <cp:keywords>2011年硕士研究生入学考试考试大纲</cp:keywords>
  <cp:lastModifiedBy>vertesyuan</cp:lastModifiedBy>
  <cp:lastPrinted>2011-07-14T09:25:00Z</cp:lastPrinted>
  <dcterms:modified xsi:type="dcterms:W3CDTF">2024-10-11T00:54:23Z</dcterms:modified>
  <dc:title>352口腔综合考试大纲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D45D0E1A055E44639E96C6A615B80238_13</vt:lpwstr>
  </property>
</Properties>
</file>