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方正小标宋简体" w:hAnsi="黑体" w:eastAsia="方正小标宋简体" w:cs="宋体"/>
          <w:bCs/>
          <w:sz w:val="36"/>
          <w:szCs w:val="36"/>
        </w:rPr>
      </w:pPr>
      <w:r>
        <w:rPr>
          <w:rFonts w:hint="eastAsia" w:ascii="方正小标宋简体" w:hAnsi="黑体" w:eastAsia="方正小标宋简体" w:cs="宋体"/>
          <w:bCs/>
          <w:sz w:val="36"/>
          <w:szCs w:val="36"/>
        </w:rPr>
        <w:t>《食品卫生学》课程教学大纲</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一、课程基本信息</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60"/>
        <w:gridCol w:w="486"/>
        <w:gridCol w:w="141"/>
        <w:gridCol w:w="889"/>
        <w:gridCol w:w="641"/>
        <w:gridCol w:w="368"/>
        <w:gridCol w:w="515"/>
        <w:gridCol w:w="479"/>
        <w:gridCol w:w="210"/>
        <w:gridCol w:w="893"/>
        <w:gridCol w:w="206"/>
        <w:gridCol w:w="46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食品卫生学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pPr>
            <w:r>
              <w:rPr>
                <w:rFonts w:eastAsia="黑体"/>
                <w:color w:val="000000"/>
                <w:sz w:val="18"/>
              </w:rPr>
              <w:t>Food Hygiene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课程号</w:t>
            </w:r>
          </w:p>
        </w:tc>
        <w:tc>
          <w:tcPr>
            <w:tcW w:w="79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0957120</w:t>
            </w:r>
          </w:p>
        </w:tc>
        <w:tc>
          <w:tcPr>
            <w:tcW w:w="60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117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理论课程</w:t>
            </w:r>
          </w:p>
        </w:tc>
        <w:tc>
          <w:tcPr>
            <w:tcW w:w="76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课程属性</w:t>
            </w:r>
          </w:p>
        </w:tc>
        <w:tc>
          <w:tcPr>
            <w:tcW w:w="79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开课学院</w:t>
            </w:r>
          </w:p>
        </w:tc>
        <w:tc>
          <w:tcPr>
            <w:tcW w:w="257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食品科学与工程</w:t>
            </w:r>
          </w:p>
        </w:tc>
        <w:tc>
          <w:tcPr>
            <w:tcW w:w="76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课程负责人</w:t>
            </w:r>
          </w:p>
        </w:tc>
        <w:tc>
          <w:tcPr>
            <w:tcW w:w="79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郭军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课程团队/</w:t>
            </w:r>
          </w:p>
          <w:p>
            <w:pPr>
              <w:jc w:val="center"/>
              <w:rPr>
                <w:rFonts w:ascii="宋体" w:hAnsi="宋体" w:cs="宋体"/>
                <w:color w:val="000000"/>
                <w:kern w:val="0"/>
                <w:sz w:val="18"/>
                <w:szCs w:val="18"/>
              </w:rPr>
            </w:pPr>
            <w:r>
              <w:rPr>
                <w:rFonts w:hint="eastAsia" w:ascii="宋体" w:hAnsi="宋体" w:cs="宋体"/>
                <w:color w:val="000000"/>
                <w:kern w:val="0"/>
                <w:sz w:val="18"/>
                <w:szCs w:val="18"/>
              </w:rPr>
              <w:t>成员</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郭军、闫鑫磊、吴金迪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开课学期</w:t>
            </w:r>
          </w:p>
        </w:tc>
        <w:tc>
          <w:tcPr>
            <w:tcW w:w="1987"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7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1442"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总学时</w:t>
            </w:r>
          </w:p>
        </w:tc>
        <w:tc>
          <w:tcPr>
            <w:tcW w:w="50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color w:val="000000"/>
                <w:w w:val="90"/>
                <w:kern w:val="0"/>
                <w:sz w:val="18"/>
                <w:szCs w:val="18"/>
              </w:rPr>
              <w:t>32</w:t>
            </w: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color w:val="000000"/>
                <w:kern w:val="0"/>
                <w:sz w:val="18"/>
                <w:szCs w:val="18"/>
              </w:rPr>
              <w:t>理论学时</w:t>
            </w:r>
          </w:p>
        </w:tc>
        <w:tc>
          <w:tcPr>
            <w:tcW w:w="52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color w:val="000000"/>
                <w:w w:val="90"/>
                <w:kern w:val="0"/>
                <w:sz w:val="18"/>
                <w:szCs w:val="18"/>
              </w:rPr>
              <w:t>32</w:t>
            </w:r>
          </w:p>
        </w:tc>
        <w:tc>
          <w:tcPr>
            <w:tcW w:w="37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实验</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51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02"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实习</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52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392"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其他学时</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适用专业</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exac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对先修课程的要求</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普通化学：能够计算溶液的冰点、沸点和缓冲液的pH值</w:t>
            </w:r>
            <w:r>
              <w:rPr>
                <w:rFonts w:ascii="宋体" w:hAnsi="宋体" w:cs="宋体"/>
                <w:color w:val="000000"/>
                <w:kern w:val="0"/>
                <w:sz w:val="18"/>
                <w:szCs w:val="18"/>
              </w:rPr>
              <w:t>，</w:t>
            </w:r>
            <w:r>
              <w:rPr>
                <w:rFonts w:hint="eastAsia" w:ascii="宋体" w:hAnsi="宋体" w:cs="宋体"/>
                <w:color w:val="000000"/>
                <w:kern w:val="0"/>
                <w:sz w:val="18"/>
                <w:szCs w:val="18"/>
              </w:rPr>
              <w:t>能够分析物质的相态变化。</w:t>
            </w:r>
          </w:p>
          <w:p>
            <w:pPr>
              <w:rPr>
                <w:rFonts w:ascii="宋体" w:hAnsi="宋体" w:cs="宋体"/>
                <w:color w:val="000000"/>
                <w:kern w:val="0"/>
                <w:sz w:val="18"/>
                <w:szCs w:val="18"/>
              </w:rPr>
            </w:pPr>
            <w:r>
              <w:rPr>
                <w:rFonts w:hint="eastAsia" w:ascii="宋体" w:hAnsi="宋体" w:cs="宋体"/>
                <w:color w:val="000000"/>
                <w:kern w:val="0"/>
                <w:sz w:val="18"/>
                <w:szCs w:val="18"/>
              </w:rPr>
              <w:t>有机化学：能够描述醛类、酮类、羧酸等生物体内常见有机化合物的基本结构和性质，能够识别萜烯类、生物碱、杂环类等复杂有机化合物的基本结构。</w:t>
            </w:r>
          </w:p>
          <w:p>
            <w:pPr>
              <w:rPr>
                <w:rFonts w:ascii="宋体" w:hAnsi="宋体" w:cs="宋体"/>
                <w:color w:val="000000"/>
                <w:kern w:val="0"/>
                <w:sz w:val="18"/>
                <w:szCs w:val="18"/>
              </w:rPr>
            </w:pPr>
            <w:r>
              <w:rPr>
                <w:rFonts w:hint="eastAsia" w:ascii="宋体" w:hAnsi="宋体" w:cs="宋体"/>
                <w:color w:val="000000"/>
                <w:kern w:val="0"/>
                <w:sz w:val="18"/>
                <w:szCs w:val="18"/>
              </w:rPr>
              <w:t>微生物学：能够描述细菌、真菌、病毒的基本生理特性。</w:t>
            </w:r>
          </w:p>
          <w:p>
            <w:pPr>
              <w:rPr>
                <w:rFonts w:ascii="宋体" w:hAnsi="宋体" w:cs="宋体"/>
                <w:color w:val="000000"/>
                <w:kern w:val="0"/>
                <w:sz w:val="18"/>
                <w:szCs w:val="18"/>
              </w:rPr>
            </w:pPr>
            <w:r>
              <w:rPr>
                <w:rFonts w:hint="eastAsia" w:ascii="宋体" w:hAnsi="宋体" w:cs="宋体"/>
                <w:color w:val="000000"/>
                <w:kern w:val="0"/>
                <w:sz w:val="18"/>
                <w:szCs w:val="18"/>
              </w:rPr>
              <w:t>食品化学：能够掌握碳水化合物、蛋白质、脂肪的基本结构和性质。</w:t>
            </w:r>
          </w:p>
          <w:p>
            <w:pPr>
              <w:rPr>
                <w:rFonts w:ascii="宋体" w:hAnsi="宋体" w:cs="宋体"/>
                <w:color w:val="000000"/>
                <w:kern w:val="0"/>
                <w:sz w:val="18"/>
                <w:szCs w:val="18"/>
              </w:rPr>
            </w:pPr>
            <w:r>
              <w:rPr>
                <w:rFonts w:hint="eastAsia" w:ascii="宋体" w:hAnsi="宋体" w:cs="宋体"/>
                <w:color w:val="000000"/>
                <w:kern w:val="0"/>
                <w:sz w:val="18"/>
                <w:szCs w:val="18"/>
              </w:rPr>
              <w:t>食品毒理学：对食品中常见毒物的危害和作用机制有所了解。</w:t>
            </w:r>
          </w:p>
          <w:p>
            <w:pPr>
              <w:rPr>
                <w:rFonts w:ascii="宋体" w:hAnsi="宋体" w:cs="宋体"/>
                <w:color w:val="000000"/>
                <w:kern w:val="0"/>
                <w:sz w:val="18"/>
                <w:szCs w:val="18"/>
              </w:rPr>
            </w:pPr>
            <w:r>
              <w:rPr>
                <w:rFonts w:hint="eastAsia" w:ascii="宋体" w:hAnsi="宋体" w:cs="宋体"/>
                <w:color w:val="000000"/>
                <w:kern w:val="0"/>
                <w:sz w:val="18"/>
                <w:szCs w:val="18"/>
              </w:rPr>
              <w:t>食品免疫学：重点应用过敏相关的知识和原理</w:t>
            </w:r>
          </w:p>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exac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对后续课程的支撑</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食品安全监督管理学：</w:t>
            </w:r>
          </w:p>
          <w:p>
            <w:pPr>
              <w:rPr>
                <w:rFonts w:ascii="宋体" w:hAnsi="宋体" w:cs="宋体"/>
                <w:color w:val="000000"/>
                <w:kern w:val="0"/>
                <w:sz w:val="18"/>
                <w:szCs w:val="18"/>
              </w:rPr>
            </w:pPr>
            <w:r>
              <w:rPr>
                <w:rFonts w:ascii="宋体" w:hAnsi="宋体" w:cs="宋体"/>
                <w:color w:val="000000"/>
                <w:kern w:val="0"/>
                <w:sz w:val="18"/>
                <w:szCs w:val="18"/>
              </w:rPr>
              <w:t>食品物流学：</w:t>
            </w:r>
          </w:p>
          <w:p>
            <w:pPr>
              <w:rPr>
                <w:rFonts w:ascii="宋体" w:hAnsi="宋体" w:cs="宋体"/>
                <w:color w:val="000000"/>
                <w:kern w:val="0"/>
                <w:sz w:val="18"/>
                <w:szCs w:val="18"/>
              </w:rPr>
            </w:pPr>
            <w:r>
              <w:rPr>
                <w:rFonts w:ascii="宋体" w:hAnsi="宋体" w:cs="宋体"/>
                <w:color w:val="000000"/>
                <w:kern w:val="0"/>
                <w:sz w:val="18"/>
                <w:szCs w:val="18"/>
              </w:rPr>
              <w:t>食品标准与法规：</w:t>
            </w:r>
          </w:p>
          <w:p>
            <w:pPr>
              <w:rPr>
                <w:rFonts w:ascii="宋体" w:hAnsi="宋体" w:cs="宋体"/>
                <w:color w:val="000000"/>
                <w:kern w:val="0"/>
                <w:sz w:val="18"/>
                <w:szCs w:val="18"/>
              </w:rPr>
            </w:pPr>
            <w:r>
              <w:rPr>
                <w:rFonts w:ascii="宋体" w:hAnsi="宋体" w:cs="宋体"/>
                <w:color w:val="000000"/>
                <w:kern w:val="0"/>
                <w:sz w:val="18"/>
                <w:szCs w:val="18"/>
              </w:rPr>
              <w:t>食品质量与安全管理学：</w:t>
            </w:r>
          </w:p>
          <w:p>
            <w:pPr>
              <w:rPr>
                <w:rFonts w:ascii="宋体" w:hAnsi="宋体" w:cs="宋体"/>
                <w:color w:val="000000"/>
                <w:kern w:val="0"/>
                <w:sz w:val="18"/>
                <w:szCs w:val="18"/>
              </w:rPr>
            </w:pPr>
            <w:r>
              <w:rPr>
                <w:rFonts w:hint="eastAsia" w:ascii="宋体" w:hAnsi="宋体" w:cs="宋体"/>
                <w:color w:val="000000"/>
                <w:kern w:val="0"/>
                <w:sz w:val="18"/>
                <w:szCs w:val="18"/>
              </w:rPr>
              <w:t>食品质量检测技术：</w:t>
            </w:r>
          </w:p>
          <w:p>
            <w:pPr>
              <w:rPr>
                <w:rFonts w:ascii="宋体" w:hAnsi="宋体" w:cs="宋体"/>
                <w:color w:val="000000"/>
                <w:kern w:val="0"/>
                <w:sz w:val="18"/>
                <w:szCs w:val="18"/>
              </w:rPr>
            </w:pPr>
            <w:r>
              <w:rPr>
                <w:rFonts w:hint="eastAsia" w:ascii="宋体" w:hAnsi="宋体" w:cs="宋体"/>
                <w:color w:val="000000"/>
                <w:kern w:val="0"/>
                <w:sz w:val="18"/>
                <w:szCs w:val="18"/>
              </w:rPr>
              <w:t>食品安全追溯与应用：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课程简介</w:t>
            </w:r>
          </w:p>
          <w:p>
            <w:pPr>
              <w:jc w:val="center"/>
              <w:rPr>
                <w:rFonts w:ascii="宋体" w:hAnsi="宋体" w:cs="宋体"/>
                <w:color w:val="000000"/>
                <w:kern w:val="0"/>
                <w:sz w:val="18"/>
                <w:szCs w:val="18"/>
              </w:rPr>
            </w:pPr>
          </w:p>
        </w:tc>
        <w:tc>
          <w:tcPr>
            <w:tcW w:w="4136" w:type="pct"/>
            <w:gridSpan w:val="13"/>
            <w:tcBorders>
              <w:top w:val="single" w:color="auto" w:sz="4" w:space="0"/>
              <w:left w:val="single" w:color="auto" w:sz="4" w:space="0"/>
              <w:bottom w:val="single" w:color="auto" w:sz="4" w:space="0"/>
              <w:right w:val="single" w:color="auto" w:sz="4" w:space="0"/>
            </w:tcBorders>
          </w:tcPr>
          <w:p>
            <w:pPr>
              <w:pStyle w:val="4"/>
              <w:spacing w:beforeAutospacing="0" w:afterAutospacing="0" w:line="320" w:lineRule="exact"/>
              <w:ind w:firstLine="360" w:firstLineChars="200"/>
              <w:jc w:val="both"/>
              <w:rPr>
                <w:color w:val="000000"/>
                <w:sz w:val="18"/>
                <w:szCs w:val="21"/>
              </w:rPr>
            </w:pPr>
            <w:r>
              <w:rPr>
                <w:rFonts w:hint="eastAsia"/>
                <w:color w:val="000000"/>
                <w:sz w:val="18"/>
                <w:szCs w:val="21"/>
              </w:rPr>
              <w:t>食品卫生学是食品质量与安全专业的学科基础必修课，是一门集理论性、技术性、科学性、法制性于一身的综合性、应用性学科本课程探讨和研究食源性可能威胁人体健康的有害因素，及其追查、检验、监督和预防措施，以提高食品卫生质量，保护消费者饮食安全的一门学科。具体内容可划分为四个方面：（1）食品的各种生物性、化学性及物理性污染，包括食品包装、用具、设备材料卫生和食品添加剂卫生等；（2）各类食品的卫生问题；（3）食物中毒；（4）食品卫生监督与管理。</w:t>
            </w:r>
            <w:r>
              <w:rPr>
                <w:rFonts w:hAnsi="宋体"/>
                <w:color w:val="000000"/>
                <w:sz w:val="18"/>
                <w:szCs w:val="18"/>
              </w:rPr>
              <w:t>。本课程在教学中采用理论教学为主，辅以学生讲座、翻转课堂课堂等多种形式进行教学，在理论教学中尽可能使用动画、视频并结合实例，使课程充满生动、趣味性的同时锻炼学生解决实际问题的能力。</w:t>
            </w:r>
          </w:p>
        </w:tc>
      </w:tr>
    </w:tbl>
    <w:p>
      <w:pPr>
        <w:widowControl/>
        <w:snapToGrid w:val="0"/>
        <w:spacing w:line="540" w:lineRule="exact"/>
        <w:jc w:val="left"/>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二、课程目标及对毕业要求指标点的支撑</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445"/>
        <w:gridCol w:w="2865"/>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02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c>
          <w:tcPr>
            <w:tcW w:w="168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支撑毕业要求</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指标点</w:t>
            </w:r>
          </w:p>
        </w:tc>
        <w:tc>
          <w:tcPr>
            <w:tcW w:w="1023"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学习国内外食品卫生工作和研究的发展趋势；了解现行食品卫生检验、卫生评价方法</w:t>
            </w:r>
          </w:p>
        </w:tc>
        <w:tc>
          <w:tcPr>
            <w:tcW w:w="168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6.2能多角度分析与评价食品工程实践对食品安全、人民健康、产品标准、法律法规、环境保护和区域文化的影响，形成牢固的食品质量意识和安全责任意识。</w:t>
            </w:r>
          </w:p>
          <w:p>
            <w:pPr>
              <w:spacing w:line="320" w:lineRule="exact"/>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tc>
        <w:tc>
          <w:tcPr>
            <w:tcW w:w="1023" w:type="pct"/>
            <w:tcBorders>
              <w:top w:val="single" w:color="auto" w:sz="4" w:space="0"/>
              <w:left w:val="single" w:color="auto" w:sz="4" w:space="0"/>
              <w:right w:val="single" w:color="auto" w:sz="4" w:space="0"/>
            </w:tcBorders>
            <w:vAlign w:val="center"/>
          </w:tcPr>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6.工程与社会:能够基于食品产业相关背景知识进行合理分析，评价食品专业工程实践和复杂工程问题对社会、健康、安全、法律以及文化的影响，并理解相应承担的责任。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熟悉食品卫生学的学科特点、食品污染的来源及其控制措施，以及国内外食品安全监控体系的建立的重要地位。</w:t>
            </w:r>
          </w:p>
          <w:p>
            <w:pPr>
              <w:spacing w:line="320" w:lineRule="exact"/>
              <w:jc w:val="left"/>
              <w:rPr>
                <w:rFonts w:ascii="宋体" w:hAnsi="宋体" w:cs="宋体"/>
                <w:color w:val="000000"/>
                <w:kern w:val="0"/>
                <w:sz w:val="18"/>
                <w:szCs w:val="18"/>
              </w:rPr>
            </w:pPr>
          </w:p>
        </w:tc>
        <w:tc>
          <w:tcPr>
            <w:tcW w:w="1681"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8.2理解食品行业从业者的行业规范、职业道德和社会责任，并在工程实践中自觉遵守。</w:t>
            </w:r>
          </w:p>
        </w:tc>
        <w:tc>
          <w:tcPr>
            <w:tcW w:w="1023" w:type="pct"/>
            <w:tcBorders>
              <w:left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8.职业规范:具有人文社会科学素养、社会责任感，能够在工程实践中理解并遵守食品行业从业者的职业道德和规范，履行相关责任。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掌握食品卫生监督管理的发展趋势，各类食品卫生的主要卫生问题及其控制措施，以及各类引起食源性疾病的原因物质。</w:t>
            </w:r>
          </w:p>
        </w:tc>
        <w:tc>
          <w:tcPr>
            <w:tcW w:w="1681"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6.1了解食品行业相关的技术标准、知识产权、产业政策和法律法规、理解不同社会文化对食品工业和产业的影响。</w:t>
            </w:r>
          </w:p>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6.2能多角度分析与评价食品工程实践对食品安全、人民健康、产品标准、法律法规、环境保护和区域文化的影响，形成牢固的食品质量意识和安全责任意识。</w:t>
            </w:r>
          </w:p>
          <w:p>
            <w:pPr>
              <w:spacing w:line="320" w:lineRule="exact"/>
              <w:jc w:val="left"/>
              <w:rPr>
                <w:rFonts w:ascii="宋体" w:hAnsi="宋体" w:cs="宋体"/>
                <w:color w:val="000000"/>
                <w:kern w:val="0"/>
                <w:sz w:val="18"/>
                <w:szCs w:val="18"/>
              </w:rPr>
            </w:pPr>
          </w:p>
        </w:tc>
        <w:tc>
          <w:tcPr>
            <w:tcW w:w="1023" w:type="pct"/>
            <w:tcBorders>
              <w:left w:val="single" w:color="auto" w:sz="4" w:space="0"/>
              <w:right w:val="single" w:color="auto" w:sz="4" w:space="0"/>
            </w:tcBorders>
            <w:vAlign w:val="center"/>
          </w:tcPr>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6.工程与社会:能够基于食品产业相关背景知识进行合理分析，评价食品专业工程实践和复杂工程问题对社会、健康、安全、法律以及文化的影响，并理解相应承担的责任。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学会各类食品卫生问题的辨别，以及各类食品卫生问题的预防手段；并能运用现行食品卫生检验、卫生评价方法对食品的安全性问题进行评估。</w:t>
            </w:r>
          </w:p>
        </w:tc>
        <w:tc>
          <w:tcPr>
            <w:tcW w:w="1681"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2.3能运用资料查询基本方法和现代文献检索技术获取食品质量安全与营养健康领域相关信息，分析问题并认识到有多种可选择解决方案。</w:t>
            </w:r>
          </w:p>
        </w:tc>
        <w:tc>
          <w:tcPr>
            <w:tcW w:w="1023" w:type="pct"/>
            <w:tcBorders>
              <w:left w:val="single" w:color="auto" w:sz="4" w:space="0"/>
              <w:bottom w:val="single" w:color="auto" w:sz="4" w:space="0"/>
              <w:right w:val="single" w:color="auto" w:sz="4" w:space="0"/>
            </w:tcBorders>
            <w:vAlign w:val="center"/>
          </w:tcPr>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2.问题分析:能够应用数学、自然科学和食品科学基本原理，识别、表达食品质量与安全领域中的复杂工程问题与营养健康问题，并通过文献研究获得优先或替代的解决方案与措施。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21"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通过了解我国食品安全发展现状，理解食品卫生学对人类健康和社会生产的意义</w:t>
            </w:r>
            <w:r>
              <w:rPr>
                <w:rFonts w:ascii="宋体" w:hAnsi="宋体" w:cs="宋体"/>
                <w:color w:val="000000"/>
                <w:kern w:val="0"/>
                <w:sz w:val="18"/>
                <w:szCs w:val="18"/>
              </w:rPr>
              <w:t>，</w:t>
            </w:r>
            <w:r>
              <w:rPr>
                <w:rFonts w:hint="eastAsia" w:ascii="宋体" w:hAnsi="宋体" w:cs="宋体"/>
                <w:color w:val="000000"/>
                <w:kern w:val="0"/>
                <w:sz w:val="18"/>
                <w:szCs w:val="18"/>
              </w:rPr>
              <w:t>正确分析与评价食品卫生学与现代社会经济发展的相互关系。</w:t>
            </w:r>
          </w:p>
        </w:tc>
        <w:tc>
          <w:tcPr>
            <w:tcW w:w="168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8.1正确理解社会主义合格建设者和可靠接班人的内涵，了解中国国情、地区区情，具有尊重生命、关爱他人、主张正义、诚信守法的较高人文素养和较强社会责任感。</w:t>
            </w:r>
          </w:p>
          <w:p>
            <w:pPr>
              <w:rPr>
                <w:rFonts w:ascii="宋体" w:hAnsi="宋体" w:cs="宋体"/>
                <w:color w:val="000000"/>
                <w:kern w:val="0"/>
                <w:sz w:val="18"/>
                <w:szCs w:val="18"/>
              </w:rPr>
            </w:pPr>
            <w:r>
              <w:rPr>
                <w:rFonts w:hint="eastAsia" w:ascii="宋体" w:hAnsi="宋体" w:cs="宋体"/>
                <w:color w:val="000000"/>
                <w:kern w:val="0"/>
                <w:sz w:val="18"/>
                <w:szCs w:val="18"/>
              </w:rPr>
              <w:t>8.2理解食品行业从业者的行业规范、职业道德和社会责任，并在工程实践中自觉遵守。</w:t>
            </w:r>
          </w:p>
          <w:p>
            <w:pPr>
              <w:rPr>
                <w:rFonts w:ascii="宋体" w:hAnsi="宋体" w:cs="宋体"/>
                <w:color w:val="000000"/>
                <w:kern w:val="0"/>
                <w:sz w:val="18"/>
                <w:szCs w:val="18"/>
              </w:rPr>
            </w:pPr>
            <w:r>
              <w:rPr>
                <w:rFonts w:hint="eastAsia" w:ascii="宋体" w:hAnsi="宋体" w:cs="宋体"/>
                <w:color w:val="000000"/>
                <w:kern w:val="0"/>
                <w:sz w:val="18"/>
                <w:szCs w:val="18"/>
              </w:rPr>
              <w:t>8.3 理解食品品控工程师对公众安全、健康和福祉，及环境保护的社会责任，能够在工程实践中自觉履行责任。</w:t>
            </w:r>
          </w:p>
        </w:tc>
        <w:tc>
          <w:tcPr>
            <w:tcW w:w="102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8.职业规范:具有人文社会科学素养、社会责任感，能够在工程实践中理解并遵守食品行业从业者的职业道德和规范，履行相关责任。</w:t>
            </w:r>
          </w:p>
          <w:p>
            <w:pPr>
              <w:spacing w:line="320" w:lineRule="exact"/>
              <w:rPr>
                <w:rFonts w:ascii="宋体" w:hAnsi="宋体" w:cs="宋体"/>
                <w:color w:val="000000"/>
                <w:kern w:val="0"/>
                <w:sz w:val="18"/>
                <w:szCs w:val="18"/>
              </w:rPr>
            </w:pPr>
          </w:p>
        </w:tc>
      </w:tr>
    </w:tbl>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rPr>
          <w:rFonts w:ascii="黑体" w:hAnsi="黑体" w:eastAsia="黑体"/>
          <w:color w:val="000000"/>
          <w:sz w:val="24"/>
        </w:rPr>
      </w:pPr>
      <w:r>
        <w:rPr>
          <w:rFonts w:hint="eastAsia" w:ascii="黑体" w:hAnsi="黑体" w:eastAsia="黑体"/>
          <w:color w:val="000000"/>
          <w:sz w:val="24"/>
        </w:rPr>
        <w:br w:type="page"/>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三、教学内容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994"/>
        <w:gridCol w:w="1229"/>
        <w:gridCol w:w="1578"/>
        <w:gridCol w:w="712"/>
        <w:gridCol w:w="1433"/>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7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教学内容</w:t>
            </w:r>
          </w:p>
        </w:tc>
        <w:tc>
          <w:tcPr>
            <w:tcW w:w="72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课程思政</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元素</w:t>
            </w:r>
          </w:p>
        </w:tc>
        <w:tc>
          <w:tcPr>
            <w:tcW w:w="92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学生学习</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预期成果</w:t>
            </w:r>
          </w:p>
        </w:tc>
        <w:tc>
          <w:tcPr>
            <w:tcW w:w="41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p>
            <w:pPr>
              <w:spacing w:line="320" w:lineRule="exact"/>
              <w:jc w:val="center"/>
              <w:rPr>
                <w:rFonts w:ascii="宋体" w:hAnsi="宋体" w:cs="宋体"/>
                <w:color w:val="000000"/>
                <w:kern w:val="0"/>
                <w:sz w:val="18"/>
                <w:szCs w:val="18"/>
                <w:highlight w:val="yellow"/>
              </w:rPr>
            </w:pPr>
            <w:r>
              <w:rPr>
                <w:rFonts w:hint="eastAsia" w:ascii="宋体" w:hAnsi="宋体" w:cs="宋体"/>
                <w:color w:val="000000"/>
                <w:kern w:val="0"/>
                <w:sz w:val="18"/>
                <w:szCs w:val="18"/>
              </w:rPr>
              <w:t>分配</w:t>
            </w:r>
          </w:p>
        </w:tc>
        <w:tc>
          <w:tcPr>
            <w:tcW w:w="84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教学方式</w:t>
            </w:r>
          </w:p>
        </w:tc>
        <w:tc>
          <w:tcPr>
            <w:tcW w:w="563"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支撑</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70"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highlight w:val="red"/>
              </w:rPr>
            </w:pPr>
            <w:r>
              <w:rPr>
                <w:rFonts w:hint="eastAsia" w:ascii="宋体" w:hAnsi="宋体" w:cs="宋体"/>
                <w:kern w:val="0"/>
                <w:sz w:val="18"/>
                <w:szCs w:val="18"/>
              </w:rPr>
              <w:t>食品卫生、食品安全的概念、范畴及二者的异同点；食品卫生学的学科特点和研究内容</w:t>
            </w:r>
          </w:p>
        </w:tc>
        <w:tc>
          <w:tcPr>
            <w:tcW w:w="721" w:type="pct"/>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kern w:val="0"/>
                <w:sz w:val="18"/>
                <w:szCs w:val="18"/>
              </w:rPr>
            </w:pPr>
            <w:r>
              <w:rPr>
                <w:rFonts w:hint="eastAsia" w:ascii="宋体" w:hAnsi="宋体" w:cs="宋体"/>
                <w:kern w:val="0"/>
                <w:sz w:val="18"/>
                <w:szCs w:val="18"/>
              </w:rPr>
              <w:t>认识食品卫生工作和研究的发展趋势；熟悉食品卫生检验、卫生评价方法；掌握食品卫生学的学科特点，食品卫生监督管理的发展趋势；对各类引起食源性疾病的原因物质有初步了解，为今后的具体内容学习打下基础</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41" w:type="pct"/>
            <w:vMerge w:val="restart"/>
            <w:tcBorders>
              <w:top w:val="single" w:color="auto" w:sz="4" w:space="0"/>
              <w:left w:val="single" w:color="auto" w:sz="4" w:space="0"/>
              <w:right w:val="single" w:color="auto" w:sz="4" w:space="0"/>
            </w:tcBorders>
            <w:vAlign w:val="center"/>
          </w:tcPr>
          <w:p>
            <w:pPr>
              <w:spacing w:line="320" w:lineRule="exact"/>
              <w:rPr>
                <w:rFonts w:ascii="Calibri" w:hAnsi="Calibri" w:cs="Calibri"/>
                <w:kern w:val="0"/>
                <w:szCs w:val="21"/>
              </w:rPr>
            </w:pPr>
            <w:r>
              <w:rPr>
                <w:rFonts w:ascii="Calibri" w:hAnsi="Calibri" w:cs="Calibri"/>
                <w:kern w:val="0"/>
                <w:szCs w:val="21"/>
              </w:rPr>
              <w:t>课前：学生通过教师给予的预习提纲通过查阅网络资源及相关书籍进行预习</w:t>
            </w:r>
          </w:p>
          <w:p>
            <w:pPr>
              <w:spacing w:line="320" w:lineRule="exact"/>
              <w:rPr>
                <w:rFonts w:ascii="Calibri" w:hAnsi="Calibri" w:cs="Calibri"/>
                <w:kern w:val="0"/>
                <w:szCs w:val="21"/>
              </w:rPr>
            </w:pPr>
            <w:r>
              <w:rPr>
                <w:rFonts w:hint="eastAsia" w:ascii="Calibri" w:hAnsi="Calibri" w:cs="Calibri"/>
                <w:kern w:val="0"/>
                <w:szCs w:val="21"/>
              </w:rPr>
              <w:t>教学环节：</w:t>
            </w:r>
            <w:r>
              <w:rPr>
                <w:rFonts w:ascii="Calibri" w:hAnsi="Calibri" w:cs="Calibri"/>
                <w:kern w:val="0"/>
                <w:szCs w:val="21"/>
              </w:rPr>
              <w:t>讲解内容前考查学生预习效果、在传统教学组织的基础上增设学生讲座、案例分析结合翻转课堂的组织形式</w:t>
            </w:r>
          </w:p>
          <w:p>
            <w:pPr>
              <w:spacing w:line="320" w:lineRule="exact"/>
              <w:rPr>
                <w:rFonts w:ascii="Calibri" w:hAnsi="Calibri" w:cs="Calibri"/>
                <w:kern w:val="0"/>
                <w:szCs w:val="21"/>
              </w:rPr>
            </w:pPr>
            <w:r>
              <w:rPr>
                <w:rFonts w:hint="eastAsia" w:ascii="Calibri" w:hAnsi="Calibri" w:cs="Calibri"/>
                <w:kern w:val="0"/>
                <w:szCs w:val="21"/>
              </w:rPr>
              <w:t>课后复习：</w:t>
            </w:r>
          </w:p>
          <w:p>
            <w:pPr>
              <w:spacing w:line="320" w:lineRule="exact"/>
              <w:rPr>
                <w:rFonts w:ascii="宋体" w:hAnsi="宋体" w:cs="宋体"/>
                <w:kern w:val="0"/>
                <w:szCs w:val="21"/>
              </w:rPr>
            </w:pPr>
            <w:r>
              <w:rPr>
                <w:rFonts w:hint="eastAsia" w:ascii="宋体" w:hAnsi="宋体" w:cs="宋体"/>
                <w:kern w:val="0"/>
                <w:szCs w:val="21"/>
              </w:rPr>
              <w:t>课后</w:t>
            </w:r>
            <w:r>
              <w:rPr>
                <w:rFonts w:ascii="宋体" w:hAnsi="宋体" w:cs="宋体"/>
                <w:kern w:val="0"/>
                <w:szCs w:val="21"/>
              </w:rPr>
              <w:t>：</w:t>
            </w:r>
          </w:p>
          <w:p>
            <w:pPr>
              <w:spacing w:line="320" w:lineRule="exact"/>
              <w:rPr>
                <w:rFonts w:ascii="宋体" w:hAnsi="宋体" w:cs="宋体"/>
                <w:color w:val="000000"/>
                <w:kern w:val="0"/>
                <w:sz w:val="18"/>
                <w:szCs w:val="18"/>
              </w:rPr>
            </w:pPr>
            <w:r>
              <w:rPr>
                <w:rFonts w:hint="eastAsia" w:ascii="宋体" w:hAnsi="宋体" w:cs="宋体"/>
                <w:kern w:val="0"/>
                <w:szCs w:val="21"/>
              </w:rPr>
              <w:t>绘制思维导图</w:t>
            </w:r>
            <w:r>
              <w:rPr>
                <w:rFonts w:ascii="宋体" w:hAnsi="宋体" w:cs="宋体"/>
                <w:kern w:val="0"/>
                <w:szCs w:val="21"/>
              </w:rPr>
              <w:t>、</w:t>
            </w:r>
            <w:r>
              <w:rPr>
                <w:rFonts w:hint="eastAsia" w:ascii="宋体" w:hAnsi="宋体" w:cs="宋体"/>
                <w:kern w:val="0"/>
                <w:szCs w:val="21"/>
              </w:rPr>
              <w:t>单元测练巩固知识</w:t>
            </w:r>
            <w:r>
              <w:rPr>
                <w:rFonts w:ascii="宋体" w:hAnsi="宋体" w:cs="宋体"/>
                <w:kern w:val="0"/>
                <w:szCs w:val="21"/>
              </w:rPr>
              <w:t>；</w:t>
            </w:r>
            <w:r>
              <w:rPr>
                <w:rFonts w:ascii="Calibri" w:hAnsi="Calibri" w:cs="Calibri"/>
                <w:kern w:val="0"/>
                <w:szCs w:val="21"/>
              </w:rPr>
              <w:t>布置解决实际问题的环节，让学生在应用的基础上对知识有更加深入的掌握</w:t>
            </w:r>
            <w:r>
              <w:rPr>
                <w:rFonts w:hint="eastAsia" w:ascii="宋体" w:hAnsi="宋体" w:cs="宋体"/>
                <w:kern w:val="0"/>
                <w:szCs w:val="21"/>
              </w:rPr>
              <w:t>。</w:t>
            </w: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 xml:space="preserve">目标1、2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7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食品微生物的来源和途径，食品的细菌污染和细菌学指标，食品的霉菌和霉菌毒素污染，食品的腐败变质，人畜共患传染病和人畜共患寄生虫病</w:t>
            </w:r>
          </w:p>
          <w:p>
            <w:pPr>
              <w:spacing w:line="320" w:lineRule="exact"/>
              <w:jc w:val="center"/>
              <w:rPr>
                <w:rFonts w:ascii="宋体" w:hAnsi="宋体" w:cs="宋体"/>
                <w:color w:val="000000"/>
                <w:kern w:val="0"/>
                <w:sz w:val="18"/>
                <w:szCs w:val="18"/>
              </w:rPr>
            </w:pPr>
          </w:p>
          <w:p>
            <w:pPr>
              <w:spacing w:line="320" w:lineRule="exact"/>
              <w:jc w:val="center"/>
              <w:rPr>
                <w:rFonts w:ascii="宋体" w:hAnsi="宋体" w:cs="宋体"/>
                <w:color w:val="000000"/>
                <w:kern w:val="0"/>
                <w:sz w:val="18"/>
                <w:szCs w:val="18"/>
              </w:rPr>
            </w:pPr>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kern w:val="0"/>
                <w:sz w:val="18"/>
                <w:szCs w:val="18"/>
              </w:rPr>
            </w:pPr>
            <w:r>
              <w:rPr>
                <w:rFonts w:hint="eastAsia" w:ascii="宋体" w:hAnsi="宋体"/>
                <w:color w:val="000000"/>
                <w:sz w:val="18"/>
                <w:shd w:val="clear" w:color="auto" w:fill="FFFFFF"/>
              </w:rPr>
              <w:t>学习</w:t>
            </w:r>
            <w:r>
              <w:rPr>
                <w:rFonts w:hint="eastAsia" w:ascii="宋体" w:hAnsi="宋体" w:cs="宋体"/>
                <w:kern w:val="0"/>
                <w:sz w:val="18"/>
                <w:szCs w:val="18"/>
              </w:rPr>
              <w:t>食品微生物污染的来源和途径，食品的细菌学指标及其卫生学意义；食品霉菌及其毒素污染的特点和规律，及黄曲霉毒素对食品的污染、危害和控制措施；简单了解常见人畜共患传染病和寄生虫病；食品污染细菌的划分，食品霉菌产毒条件和特点；掌握腐败变质的原因和条件。</w:t>
            </w:r>
          </w:p>
          <w:p>
            <w:pPr>
              <w:spacing w:line="320" w:lineRule="exact"/>
              <w:jc w:val="center"/>
              <w:rPr>
                <w:rFonts w:ascii="宋体" w:hAnsi="宋体" w:cs="宋体"/>
                <w:color w:val="000000"/>
                <w:kern w:val="0"/>
                <w:sz w:val="18"/>
                <w:szCs w:val="18"/>
              </w:rPr>
            </w:pP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41" w:type="pct"/>
            <w:vMerge w:val="continue"/>
            <w:tcBorders>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目标3</w:t>
            </w:r>
            <w:r>
              <w:rPr>
                <w:rFonts w:ascii="宋体" w:hAnsi="宋体" w:cs="宋体"/>
                <w:color w:val="000000"/>
                <w:kern w:val="0"/>
                <w:sz w:val="18"/>
                <w:szCs w:val="18"/>
              </w:rPr>
              <w:t>、</w:t>
            </w:r>
            <w:r>
              <w:rPr>
                <w:rFonts w:hint="eastAsia" w:ascii="宋体" w:hAnsi="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70"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hd w:val="clear" w:color="auto" w:fill="FFFFFF"/>
              </w:rPr>
            </w:pPr>
            <w:r>
              <w:rPr>
                <w:rFonts w:hint="eastAsia" w:ascii="宋体" w:hAnsi="宋体" w:cs="宋体"/>
                <w:color w:val="000000"/>
                <w:kern w:val="0"/>
                <w:sz w:val="18"/>
                <w:szCs w:val="18"/>
              </w:rPr>
              <w:t>农药和兽药残留对食品的污染；有毒金属污染及其预防；N-亚硝基化合物污染及其预防；多环芳烃类化合物污染，杂环胺、氯丙醇和丙烯酰胺类化合物污染；多氯联苯和二噁英污染；容器用具和包装材料及涂料的卫生问题；食品的放射性污染和食品辐照；食品异物等</w:t>
            </w:r>
          </w:p>
          <w:p>
            <w:pPr>
              <w:spacing w:line="320" w:lineRule="exact"/>
              <w:jc w:val="center"/>
              <w:rPr>
                <w:rFonts w:ascii="宋体" w:hAnsi="宋体" w:cs="宋体"/>
                <w:color w:val="000000"/>
                <w:kern w:val="0"/>
                <w:sz w:val="18"/>
                <w:szCs w:val="18"/>
              </w:rPr>
            </w:pPr>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 xml:space="preserve">了解多氯联苯（PCBs）、二恶英（Dioxins）及其他环境持久性有机污染物（POPs）的来源、对食品安全的危害；能在学习理论知识的基础上结合实例解析食品容器、用具、设备和包装材料，以及涂料的食品卫生问题并提出预防控制对策；熟悉常用农药的分类、农药污染的途径和卫生学问题；动物性食品抗生素、抗寄生虫、激素等药物危害及预防对策，多环芳烃类化合物（PAHs）种类；有毒金属污染食物的途径；熟悉氯丙醇和丙烯酰胺发生的原因和机制，危害及控制措施；熟悉食品辐照及辐照食品的安全性及技术参数；掌握有毒金属概念和种类，有毒金属的毒性及影响因素；食品中N-亚硝基化合物的来源、危害和预防控制措施；代表物苯并芘（B (a) P）污染食品的途径及预防控制措施；杂环胺的产生的原因和机制（不良烹调方法），危害及控制措施。 </w:t>
            </w:r>
          </w:p>
          <w:p>
            <w:pPr>
              <w:spacing w:line="320" w:lineRule="exact"/>
              <w:jc w:val="center"/>
              <w:rPr>
                <w:rFonts w:ascii="宋体" w:hAnsi="宋体" w:cs="宋体"/>
                <w:color w:val="000000"/>
                <w:kern w:val="0"/>
                <w:sz w:val="18"/>
                <w:szCs w:val="18"/>
              </w:rPr>
            </w:pP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41" w:type="pct"/>
            <w:vMerge w:val="continue"/>
            <w:tcBorders>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1170" w:type="pct"/>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color w:val="000000"/>
                <w:sz w:val="18"/>
                <w:szCs w:val="18"/>
                <w:shd w:val="clear" w:color="auto" w:fill="FFFFFF"/>
              </w:rPr>
            </w:pPr>
            <w:r>
              <w:rPr>
                <w:rFonts w:hint="eastAsia" w:ascii="宋体" w:hAnsi="宋体" w:cs="宋体"/>
                <w:color w:val="000000"/>
                <w:kern w:val="0"/>
                <w:sz w:val="18"/>
                <w:szCs w:val="18"/>
              </w:rPr>
              <w:t>粮豆和蔬菜水果、</w:t>
            </w:r>
            <w:r>
              <w:rPr>
                <w:rFonts w:hint="eastAsia" w:ascii="宋体" w:hAnsi="宋体"/>
                <w:color w:val="000000"/>
                <w:sz w:val="18"/>
                <w:szCs w:val="18"/>
                <w:shd w:val="clear" w:color="auto" w:fill="FFFFFF"/>
              </w:rPr>
              <w:t>畜禽肉、乳及乳制品、蛋制品蛋卫生、水产品、罐头食品、酒类、酱油、食醋、食用油脂的主要卫生问题</w:t>
            </w:r>
          </w:p>
          <w:p>
            <w:pPr>
              <w:snapToGrid w:val="0"/>
              <w:spacing w:line="320" w:lineRule="exact"/>
              <w:ind w:firstLine="420" w:firstLineChars="200"/>
              <w:rPr>
                <w:rFonts w:ascii="宋体" w:hAnsi="宋体"/>
                <w:color w:val="000000"/>
                <w:shd w:val="clear" w:color="auto" w:fill="FFFFFF"/>
              </w:rPr>
            </w:pPr>
          </w:p>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 xml:space="preserve">了解植物性食品的主要食品卫生学问题及其对策； </w:t>
            </w:r>
          </w:p>
          <w:p>
            <w:pPr>
              <w:widowControl/>
              <w:adjustRightInd w:val="0"/>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了解动物性食品的主要卫生问题及其预防控制对策；熟悉几种人畜共患传染病和寄生虫病的名称； 掌握畜禽肉的主要食品卫生问题；了解几类加工食品的卫生学特点或问题；理解罐头食品的灭菌方法、保温试验和灭菌公式；熟悉蒸馏酒、发酵酒的卫生学特点和主要卫生问题；掌握油脂的主要卫生问题，油脂的氧化酸败及卫生检验指标。</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41" w:type="pct"/>
            <w:tcBorders>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1170" w:type="pct"/>
            <w:tcBorders>
              <w:top w:val="single" w:color="auto" w:sz="4" w:space="0"/>
              <w:left w:val="single" w:color="auto" w:sz="4" w:space="0"/>
              <w:bottom w:val="single" w:color="auto" w:sz="4" w:space="0"/>
              <w:right w:val="single" w:color="auto" w:sz="4" w:space="0"/>
            </w:tcBorders>
          </w:tcPr>
          <w:p>
            <w:r>
              <w:rPr>
                <w:rFonts w:hint="eastAsia" w:ascii="宋体" w:hAnsi="宋体"/>
                <w:color w:val="000000"/>
                <w:sz w:val="18"/>
                <w:shd w:val="clear" w:color="auto" w:fill="FFFFFF"/>
              </w:rPr>
              <w:t>转基因食品的定义和分类，转基因食品的安全性评价原则</w:t>
            </w:r>
          </w:p>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 xml:space="preserve">了解基因改造品及其风险评估原则；熟悉GMFood安全性评价的“危险性分析原则”、“实质等同原则”和“个案分析原则”；能跟据所学知识提出自己对对转基因食品的认识和观点。 </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p>
            <w:pPr>
              <w:spacing w:line="320" w:lineRule="exact"/>
              <w:jc w:val="center"/>
              <w:rPr>
                <w:rFonts w:ascii="宋体" w:hAnsi="宋体" w:cs="宋体"/>
                <w:color w:val="000000"/>
                <w:kern w:val="0"/>
                <w:sz w:val="18"/>
                <w:szCs w:val="18"/>
              </w:rPr>
            </w:pPr>
          </w:p>
        </w:tc>
        <w:tc>
          <w:tcPr>
            <w:tcW w:w="841" w:type="pct"/>
            <w:tcBorders>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1170" w:type="pct"/>
            <w:tcBorders>
              <w:top w:val="single" w:color="auto" w:sz="4" w:space="0"/>
              <w:left w:val="single" w:color="auto" w:sz="4" w:space="0"/>
              <w:bottom w:val="single" w:color="auto" w:sz="4" w:space="0"/>
              <w:right w:val="single" w:color="auto" w:sz="4" w:space="0"/>
            </w:tcBorders>
            <w:vAlign w:val="center"/>
          </w:tcPr>
          <w:p>
            <w:pPr>
              <w:rPr>
                <w:sz w:val="18"/>
              </w:rPr>
            </w:pPr>
            <w:r>
              <w:rPr>
                <w:rFonts w:hint="eastAsia" w:ascii="宋体" w:hAnsi="宋体"/>
                <w:color w:val="000000"/>
                <w:sz w:val="18"/>
                <w:shd w:val="clear" w:color="auto" w:fill="FFFFFF"/>
              </w:rPr>
              <w:t>各种水资源卫生特点，水质卫生评价指标，饮用水卫生要求</w:t>
            </w:r>
          </w:p>
          <w:p>
            <w:pPr>
              <w:spacing w:line="320" w:lineRule="exact"/>
              <w:jc w:val="center"/>
              <w:rPr>
                <w:rFonts w:ascii="宋体" w:hAnsi="宋体" w:cs="宋体"/>
                <w:color w:val="000000"/>
                <w:kern w:val="0"/>
                <w:sz w:val="18"/>
                <w:szCs w:val="18"/>
              </w:rPr>
            </w:pPr>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了解饮用水的卫生要求及水污染的检验方法；熟悉常用的水质卫生评价指</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41" w:type="pct"/>
            <w:vMerge w:val="restart"/>
            <w:tcBorders>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1170"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18"/>
                <w:shd w:val="clear" w:color="auto" w:fill="FFFFFF"/>
              </w:rPr>
            </w:pPr>
            <w:r>
              <w:rPr>
                <w:rFonts w:hint="eastAsia" w:ascii="宋体" w:hAnsi="宋体"/>
                <w:color w:val="000000"/>
                <w:sz w:val="18"/>
                <w:shd w:val="clear" w:color="auto" w:fill="FFFFFF"/>
              </w:rPr>
              <w:t>食源性疾病范畴、特点、引发基本要素等，食品中毒的分类、特点及流行病学特征</w:t>
            </w:r>
          </w:p>
          <w:p>
            <w:pPr>
              <w:spacing w:line="320" w:lineRule="exact"/>
              <w:jc w:val="center"/>
              <w:rPr>
                <w:rFonts w:ascii="宋体" w:hAnsi="宋体" w:cs="宋体"/>
                <w:color w:val="000000"/>
                <w:kern w:val="0"/>
                <w:sz w:val="18"/>
                <w:szCs w:val="18"/>
              </w:rPr>
            </w:pPr>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 xml:space="preserve">了解食源性疾病范畴、特点；理解食物中毒概念和界定，掌握食物中毒的各类原因；熟悉常见细菌性食物中毒和原因细菌及其毒素；掌握食物中毒的分类和主要特点。 </w:t>
            </w:r>
          </w:p>
          <w:p>
            <w:pPr>
              <w:spacing w:line="320" w:lineRule="exact"/>
              <w:jc w:val="center"/>
              <w:rPr>
                <w:rFonts w:ascii="宋体" w:hAnsi="宋体" w:cs="宋体"/>
                <w:color w:val="000000"/>
                <w:kern w:val="0"/>
                <w:sz w:val="18"/>
                <w:szCs w:val="18"/>
              </w:rPr>
            </w:pP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1" w:type="pct"/>
            <w:vMerge w:val="continue"/>
            <w:tcBorders>
              <w:left w:val="single" w:color="auto" w:sz="4" w:space="0"/>
              <w:right w:val="single" w:color="auto" w:sz="4" w:space="0"/>
            </w:tcBorders>
            <w:vAlign w:val="center"/>
          </w:tcPr>
          <w:p>
            <w:pPr>
              <w:spacing w:line="320" w:lineRule="exact"/>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1170" w:type="pct"/>
            <w:tcBorders>
              <w:top w:val="single" w:color="auto" w:sz="4" w:space="0"/>
              <w:left w:val="single" w:color="auto" w:sz="4" w:space="0"/>
              <w:bottom w:val="single" w:color="auto" w:sz="4" w:space="0"/>
              <w:right w:val="single" w:color="auto" w:sz="4" w:space="0"/>
            </w:tcBorders>
            <w:vAlign w:val="center"/>
          </w:tcPr>
          <w:p>
            <w:pPr>
              <w:rPr>
                <w:sz w:val="18"/>
              </w:rPr>
            </w:pPr>
            <w:r>
              <w:rPr>
                <w:rFonts w:hint="eastAsia" w:ascii="宋体" w:hAnsi="宋体"/>
                <w:color w:val="000000"/>
                <w:sz w:val="18"/>
                <w:shd w:val="clear" w:color="auto" w:fill="FFFFFF"/>
              </w:rPr>
              <w:t>食品卫生监督和管理的区别，安全监督管理体系，食品行业、企业的食品卫生自主管理</w:t>
            </w:r>
          </w:p>
          <w:p>
            <w:pPr>
              <w:spacing w:line="320" w:lineRule="exact"/>
              <w:jc w:val="center"/>
              <w:rPr>
                <w:rFonts w:ascii="宋体" w:hAnsi="宋体" w:cs="宋体"/>
                <w:color w:val="000000"/>
                <w:kern w:val="0"/>
                <w:sz w:val="18"/>
                <w:szCs w:val="18"/>
              </w:rPr>
            </w:pPr>
          </w:p>
        </w:tc>
        <w:tc>
          <w:tcPr>
            <w:tcW w:w="721"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18"/>
                <w:shd w:val="clear" w:color="auto" w:fill="FFFFFF"/>
              </w:rPr>
            </w:pPr>
            <w:r>
              <w:rPr>
                <w:rFonts w:hint="eastAsia" w:ascii="宋体" w:hAnsi="宋体"/>
                <w:color w:val="000000"/>
                <w:sz w:val="18"/>
                <w:shd w:val="clear" w:color="auto" w:fill="FFFFFF"/>
              </w:rPr>
              <w:t>了解现行《中华人民共和国食品安全法》内容；理解食品卫生监督与管理的概念，主体、实施、保障体系。</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841" w:type="pct"/>
            <w:vMerge w:val="continue"/>
            <w:tcBorders>
              <w:left w:val="single" w:color="auto" w:sz="4" w:space="0"/>
              <w:right w:val="single" w:color="auto" w:sz="4" w:space="0"/>
            </w:tcBorders>
            <w:vAlign w:val="center"/>
          </w:tcPr>
          <w:p>
            <w:pPr>
              <w:spacing w:line="320" w:lineRule="exact"/>
              <w:rPr>
                <w:rFonts w:ascii="宋体" w:hAnsi="宋体" w:cs="宋体"/>
                <w:color w:val="000000"/>
                <w:kern w:val="0"/>
                <w:sz w:val="18"/>
                <w:szCs w:val="18"/>
              </w:rPr>
            </w:pPr>
          </w:p>
        </w:tc>
        <w:tc>
          <w:tcPr>
            <w:tcW w:w="56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目标5</w:t>
            </w:r>
          </w:p>
        </w:tc>
      </w:tr>
    </w:tbl>
    <w:p>
      <w:pPr>
        <w:spacing w:line="320" w:lineRule="exact"/>
        <w:ind w:firstLine="90" w:firstLineChars="50"/>
        <w:rPr>
          <w:rFonts w:ascii="宋体" w:hAnsi="宋体" w:cs="宋体"/>
          <w:color w:val="000000"/>
          <w:sz w:val="18"/>
          <w:szCs w:val="18"/>
        </w:rPr>
      </w:pPr>
      <w:r>
        <w:rPr>
          <w:rFonts w:hint="eastAsia" w:ascii="宋体" w:hAnsi="宋体" w:cs="宋体"/>
          <w:color w:val="000000"/>
          <w:sz w:val="18"/>
          <w:szCs w:val="18"/>
        </w:rPr>
        <w:t>注：知识点要充分体现课程思政元素。</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四、课程教学模式</w:t>
      </w:r>
    </w:p>
    <w:p>
      <w:pPr>
        <w:widowControl/>
        <w:snapToGrid w:val="0"/>
        <w:spacing w:line="540" w:lineRule="exact"/>
        <w:jc w:val="left"/>
        <w:rPr>
          <w:rFonts w:ascii="宋体" w:hAnsi="宋体" w:cs="宋体"/>
          <w:color w:val="000000"/>
          <w:sz w:val="24"/>
        </w:rPr>
      </w:pPr>
      <w:r>
        <w:rPr>
          <w:rFonts w:hint="eastAsia" w:ascii="黑体" w:hAnsi="黑体" w:eastAsia="黑体"/>
          <w:color w:val="000000"/>
          <w:sz w:val="24"/>
        </w:rPr>
        <w:t xml:space="preserve">   </w:t>
      </w:r>
      <w:r>
        <w:rPr>
          <w:rFonts w:hint="eastAsia" w:ascii="宋体" w:hAnsi="宋体" w:cs="宋体"/>
          <w:color w:val="000000"/>
          <w:kern w:val="0"/>
          <w:sz w:val="24"/>
        </w:rPr>
        <w:t>线下教学</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五、课程考核（可以多样化表述，突出课程特点，考核方式能够考察课程目标的达成情况，考核占比应该与课程目标达成过程在课程中所占的比重相匹配。）</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1.考核方式:考试</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2.计分方式:百分制 </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3.评价方式:</w:t>
      </w:r>
      <w:r>
        <w:rPr>
          <w:rFonts w:hAnsi="宋体"/>
          <w:color w:val="000000" w:themeColor="text1"/>
          <w:sz w:val="24"/>
        </w:rPr>
        <w:t xml:space="preserve"> 期末总成绩</w:t>
      </w:r>
      <w:r>
        <w:rPr>
          <w:color w:val="000000" w:themeColor="text1"/>
          <w:sz w:val="24"/>
        </w:rPr>
        <w:t>=</w:t>
      </w:r>
      <w:r>
        <w:rPr>
          <w:rFonts w:hAnsi="宋体"/>
          <w:color w:val="000000" w:themeColor="text1"/>
          <w:sz w:val="24"/>
        </w:rPr>
        <w:t>平时成绩</w:t>
      </w:r>
      <w:r>
        <w:rPr>
          <w:color w:val="000000" w:themeColor="text1"/>
          <w:sz w:val="24"/>
        </w:rPr>
        <w:t>×40%+</w:t>
      </w:r>
      <w:r>
        <w:rPr>
          <w:rFonts w:hAnsi="宋体"/>
          <w:color w:val="000000" w:themeColor="text1"/>
          <w:sz w:val="24"/>
        </w:rPr>
        <w:t>期末笔试成绩</w:t>
      </w:r>
      <w:r>
        <w:rPr>
          <w:color w:val="000000" w:themeColor="text1"/>
          <w:sz w:val="24"/>
        </w:rPr>
        <w:t>×60%</w:t>
      </w:r>
      <w:r>
        <w:rPr>
          <w:rFonts w:hAnsi="宋体"/>
          <w:color w:val="000000" w:themeColor="text1"/>
          <w:sz w:val="24"/>
        </w:rPr>
        <w:t>。</w:t>
      </w:r>
    </w:p>
    <w:p>
      <w:pPr>
        <w:spacing w:line="320" w:lineRule="exact"/>
        <w:ind w:firstLine="480" w:firstLineChars="200"/>
        <w:rPr>
          <w:rFonts w:ascii="黑体" w:hAnsi="黑体" w:eastAsia="黑体"/>
          <w:color w:val="000000"/>
          <w:sz w:val="24"/>
        </w:rPr>
      </w:pPr>
      <w:r>
        <w:rPr>
          <w:rFonts w:hint="eastAsia" w:ascii="黑体" w:hAnsi="黑体" w:eastAsia="黑体"/>
          <w:color w:val="000000"/>
          <w:sz w:val="24"/>
        </w:rPr>
        <w:t>评价方式与课程目标对应的权重分配表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188"/>
        <w:gridCol w:w="1140"/>
        <w:gridCol w:w="1140"/>
        <w:gridCol w:w="1125"/>
        <w:gridCol w:w="1080"/>
        <w:gridCol w:w="114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spacing w:line="320" w:lineRule="exact"/>
              <w:rPr>
                <w:color w:val="000000"/>
                <w:sz w:val="18"/>
                <w:szCs w:val="18"/>
              </w:rPr>
            </w:pPr>
            <w:r>
              <w:rPr>
                <w:color w:val="000000"/>
                <w:sz w:val="18"/>
                <w:szCs w:val="18"/>
              </w:rPr>
              <w:t>序号</w:t>
            </w:r>
          </w:p>
        </w:tc>
        <w:tc>
          <w:tcPr>
            <w:tcW w:w="1188" w:type="dxa"/>
          </w:tcPr>
          <w:p>
            <w:pPr>
              <w:spacing w:line="320" w:lineRule="exact"/>
              <w:rPr>
                <w:color w:val="000000"/>
                <w:sz w:val="18"/>
                <w:szCs w:val="18"/>
              </w:rPr>
            </w:pPr>
            <w:r>
              <w:rPr>
                <w:color w:val="000000"/>
                <w:sz w:val="18"/>
                <w:szCs w:val="18"/>
              </w:rPr>
              <w:t>评价方式</w:t>
            </w:r>
          </w:p>
        </w:tc>
        <w:tc>
          <w:tcPr>
            <w:tcW w:w="1140" w:type="dxa"/>
          </w:tcPr>
          <w:p>
            <w:pPr>
              <w:spacing w:line="320" w:lineRule="exact"/>
              <w:rPr>
                <w:color w:val="000000"/>
                <w:sz w:val="18"/>
                <w:szCs w:val="18"/>
              </w:rPr>
            </w:pPr>
            <w:r>
              <w:rPr>
                <w:color w:val="000000"/>
                <w:sz w:val="18"/>
                <w:szCs w:val="18"/>
              </w:rPr>
              <w:t>课程目标1</w:t>
            </w:r>
          </w:p>
        </w:tc>
        <w:tc>
          <w:tcPr>
            <w:tcW w:w="1140" w:type="dxa"/>
          </w:tcPr>
          <w:p>
            <w:pPr>
              <w:spacing w:line="320" w:lineRule="exact"/>
              <w:rPr>
                <w:color w:val="000000"/>
                <w:sz w:val="18"/>
                <w:szCs w:val="18"/>
              </w:rPr>
            </w:pPr>
            <w:r>
              <w:rPr>
                <w:color w:val="000000"/>
                <w:sz w:val="18"/>
                <w:szCs w:val="18"/>
              </w:rPr>
              <w:t>课程目标2</w:t>
            </w:r>
          </w:p>
        </w:tc>
        <w:tc>
          <w:tcPr>
            <w:tcW w:w="1125" w:type="dxa"/>
          </w:tcPr>
          <w:p>
            <w:pPr>
              <w:spacing w:line="320" w:lineRule="exact"/>
              <w:rPr>
                <w:color w:val="000000"/>
                <w:sz w:val="18"/>
                <w:szCs w:val="18"/>
              </w:rPr>
            </w:pPr>
            <w:r>
              <w:rPr>
                <w:color w:val="000000"/>
                <w:sz w:val="18"/>
                <w:szCs w:val="18"/>
              </w:rPr>
              <w:t>课程目标3</w:t>
            </w:r>
          </w:p>
        </w:tc>
        <w:tc>
          <w:tcPr>
            <w:tcW w:w="1080" w:type="dxa"/>
          </w:tcPr>
          <w:p>
            <w:pPr>
              <w:spacing w:line="320" w:lineRule="exact"/>
              <w:rPr>
                <w:color w:val="000000"/>
                <w:sz w:val="18"/>
                <w:szCs w:val="18"/>
              </w:rPr>
            </w:pPr>
            <w:r>
              <w:rPr>
                <w:color w:val="000000"/>
                <w:sz w:val="18"/>
                <w:szCs w:val="18"/>
              </w:rPr>
              <w:t>课程目标4</w:t>
            </w:r>
          </w:p>
        </w:tc>
        <w:tc>
          <w:tcPr>
            <w:tcW w:w="1142" w:type="dxa"/>
          </w:tcPr>
          <w:p>
            <w:pPr>
              <w:spacing w:line="320" w:lineRule="exact"/>
              <w:rPr>
                <w:color w:val="000000"/>
                <w:sz w:val="18"/>
                <w:szCs w:val="18"/>
              </w:rPr>
            </w:pPr>
            <w:r>
              <w:rPr>
                <w:rFonts w:hint="eastAsia"/>
                <w:color w:val="000000"/>
                <w:sz w:val="18"/>
                <w:szCs w:val="18"/>
              </w:rPr>
              <w:t>课程目标5</w:t>
            </w:r>
          </w:p>
        </w:tc>
        <w:tc>
          <w:tcPr>
            <w:tcW w:w="1106" w:type="dxa"/>
          </w:tcPr>
          <w:p>
            <w:pPr>
              <w:spacing w:line="320" w:lineRule="exact"/>
              <w:rPr>
                <w:color w:val="000000"/>
                <w:sz w:val="18"/>
                <w:szCs w:val="18"/>
              </w:rPr>
            </w:pPr>
            <w:r>
              <w:rPr>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spacing w:line="320" w:lineRule="exact"/>
              <w:rPr>
                <w:color w:val="000000"/>
                <w:sz w:val="18"/>
                <w:szCs w:val="18"/>
              </w:rPr>
            </w:pPr>
            <w:r>
              <w:rPr>
                <w:color w:val="000000"/>
                <w:sz w:val="18"/>
                <w:szCs w:val="18"/>
              </w:rPr>
              <w:t>1</w:t>
            </w:r>
          </w:p>
        </w:tc>
        <w:tc>
          <w:tcPr>
            <w:tcW w:w="1188" w:type="dxa"/>
          </w:tcPr>
          <w:p>
            <w:pPr>
              <w:spacing w:line="320" w:lineRule="exact"/>
              <w:rPr>
                <w:color w:val="000000"/>
                <w:sz w:val="18"/>
                <w:szCs w:val="18"/>
              </w:rPr>
            </w:pPr>
            <w:r>
              <w:rPr>
                <w:rFonts w:hint="eastAsia"/>
                <w:color w:val="000000"/>
                <w:sz w:val="18"/>
                <w:szCs w:val="18"/>
              </w:rPr>
              <w:t>期末考试</w:t>
            </w:r>
          </w:p>
        </w:tc>
        <w:tc>
          <w:tcPr>
            <w:tcW w:w="1140" w:type="dxa"/>
          </w:tcPr>
          <w:p>
            <w:pPr>
              <w:spacing w:line="320" w:lineRule="exact"/>
              <w:rPr>
                <w:color w:val="000000"/>
                <w:sz w:val="18"/>
                <w:szCs w:val="18"/>
              </w:rPr>
            </w:pPr>
            <w:r>
              <w:rPr>
                <w:rFonts w:hint="eastAsia"/>
                <w:color w:val="000000"/>
                <w:sz w:val="18"/>
                <w:szCs w:val="18"/>
              </w:rPr>
              <w:t>5</w:t>
            </w:r>
          </w:p>
        </w:tc>
        <w:tc>
          <w:tcPr>
            <w:tcW w:w="1140" w:type="dxa"/>
          </w:tcPr>
          <w:p>
            <w:pPr>
              <w:spacing w:line="320" w:lineRule="exact"/>
              <w:rPr>
                <w:color w:val="000000"/>
                <w:sz w:val="18"/>
                <w:szCs w:val="18"/>
              </w:rPr>
            </w:pPr>
            <w:r>
              <w:rPr>
                <w:rFonts w:hint="eastAsia"/>
                <w:color w:val="000000"/>
                <w:sz w:val="18"/>
                <w:szCs w:val="18"/>
              </w:rPr>
              <w:t>5</w:t>
            </w:r>
          </w:p>
        </w:tc>
        <w:tc>
          <w:tcPr>
            <w:tcW w:w="1125" w:type="dxa"/>
          </w:tcPr>
          <w:p>
            <w:pPr>
              <w:spacing w:line="320" w:lineRule="exact"/>
              <w:rPr>
                <w:color w:val="000000"/>
                <w:sz w:val="18"/>
                <w:szCs w:val="18"/>
              </w:rPr>
            </w:pPr>
            <w:r>
              <w:rPr>
                <w:rFonts w:hint="eastAsia"/>
                <w:color w:val="000000"/>
                <w:sz w:val="18"/>
                <w:szCs w:val="18"/>
              </w:rPr>
              <w:t>30</w:t>
            </w:r>
          </w:p>
        </w:tc>
        <w:tc>
          <w:tcPr>
            <w:tcW w:w="1080" w:type="dxa"/>
          </w:tcPr>
          <w:p>
            <w:pPr>
              <w:spacing w:line="320" w:lineRule="exact"/>
              <w:rPr>
                <w:color w:val="000000"/>
                <w:sz w:val="18"/>
                <w:szCs w:val="18"/>
              </w:rPr>
            </w:pPr>
            <w:r>
              <w:rPr>
                <w:rFonts w:hint="eastAsia"/>
                <w:color w:val="000000"/>
                <w:sz w:val="18"/>
                <w:szCs w:val="18"/>
              </w:rPr>
              <w:t>15</w:t>
            </w:r>
          </w:p>
        </w:tc>
        <w:tc>
          <w:tcPr>
            <w:tcW w:w="1142" w:type="dxa"/>
          </w:tcPr>
          <w:p>
            <w:pPr>
              <w:spacing w:line="320" w:lineRule="exact"/>
              <w:rPr>
                <w:color w:val="000000"/>
                <w:sz w:val="18"/>
                <w:szCs w:val="18"/>
              </w:rPr>
            </w:pPr>
            <w:r>
              <w:rPr>
                <w:rFonts w:hint="eastAsia"/>
                <w:color w:val="000000"/>
                <w:sz w:val="18"/>
                <w:szCs w:val="18"/>
              </w:rPr>
              <w:t>5</w:t>
            </w:r>
          </w:p>
        </w:tc>
        <w:tc>
          <w:tcPr>
            <w:tcW w:w="1106" w:type="dxa"/>
          </w:tcPr>
          <w:p>
            <w:pPr>
              <w:spacing w:line="320" w:lineRule="exact"/>
              <w:rPr>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spacing w:line="320" w:lineRule="exact"/>
              <w:rPr>
                <w:color w:val="000000"/>
                <w:sz w:val="18"/>
                <w:szCs w:val="18"/>
              </w:rPr>
            </w:pPr>
            <w:r>
              <w:rPr>
                <w:color w:val="000000"/>
                <w:sz w:val="18"/>
                <w:szCs w:val="18"/>
              </w:rPr>
              <w:t>2</w:t>
            </w:r>
          </w:p>
        </w:tc>
        <w:tc>
          <w:tcPr>
            <w:tcW w:w="1188" w:type="dxa"/>
          </w:tcPr>
          <w:p>
            <w:pPr>
              <w:spacing w:line="320" w:lineRule="exact"/>
              <w:rPr>
                <w:color w:val="000000"/>
                <w:sz w:val="18"/>
                <w:szCs w:val="18"/>
              </w:rPr>
            </w:pPr>
            <w:r>
              <w:rPr>
                <w:rFonts w:hint="eastAsia"/>
                <w:color w:val="000000"/>
                <w:sz w:val="18"/>
                <w:szCs w:val="18"/>
              </w:rPr>
              <w:t>小作业</w:t>
            </w:r>
          </w:p>
        </w:tc>
        <w:tc>
          <w:tcPr>
            <w:tcW w:w="1140" w:type="dxa"/>
          </w:tcPr>
          <w:p>
            <w:pPr>
              <w:spacing w:line="320" w:lineRule="exact"/>
              <w:rPr>
                <w:color w:val="000000"/>
                <w:sz w:val="18"/>
                <w:szCs w:val="18"/>
              </w:rPr>
            </w:pPr>
          </w:p>
        </w:tc>
        <w:tc>
          <w:tcPr>
            <w:tcW w:w="1140" w:type="dxa"/>
          </w:tcPr>
          <w:p>
            <w:pPr>
              <w:spacing w:line="320" w:lineRule="exact"/>
              <w:rPr>
                <w:color w:val="000000"/>
                <w:sz w:val="18"/>
                <w:szCs w:val="18"/>
              </w:rPr>
            </w:pPr>
          </w:p>
        </w:tc>
        <w:tc>
          <w:tcPr>
            <w:tcW w:w="1125" w:type="dxa"/>
          </w:tcPr>
          <w:p>
            <w:pPr>
              <w:spacing w:line="320" w:lineRule="exact"/>
              <w:rPr>
                <w:color w:val="000000"/>
                <w:sz w:val="18"/>
                <w:szCs w:val="18"/>
              </w:rPr>
            </w:pPr>
            <w:r>
              <w:rPr>
                <w:rFonts w:hint="eastAsia"/>
                <w:color w:val="000000"/>
                <w:sz w:val="18"/>
                <w:szCs w:val="18"/>
              </w:rPr>
              <w:t>5</w:t>
            </w:r>
          </w:p>
        </w:tc>
        <w:tc>
          <w:tcPr>
            <w:tcW w:w="1080" w:type="dxa"/>
          </w:tcPr>
          <w:p>
            <w:pPr>
              <w:spacing w:line="320" w:lineRule="exact"/>
              <w:rPr>
                <w:color w:val="000000"/>
                <w:sz w:val="18"/>
                <w:szCs w:val="18"/>
              </w:rPr>
            </w:pPr>
            <w:r>
              <w:rPr>
                <w:rFonts w:hint="eastAsia"/>
                <w:color w:val="000000"/>
                <w:sz w:val="18"/>
                <w:szCs w:val="18"/>
              </w:rPr>
              <w:t>5</w:t>
            </w:r>
          </w:p>
        </w:tc>
        <w:tc>
          <w:tcPr>
            <w:tcW w:w="1142" w:type="dxa"/>
          </w:tcPr>
          <w:p>
            <w:pPr>
              <w:spacing w:line="320" w:lineRule="exact"/>
              <w:rPr>
                <w:color w:val="000000"/>
                <w:sz w:val="18"/>
                <w:szCs w:val="18"/>
              </w:rPr>
            </w:pPr>
          </w:p>
        </w:tc>
        <w:tc>
          <w:tcPr>
            <w:tcW w:w="1106" w:type="dxa"/>
          </w:tcPr>
          <w:p>
            <w:pPr>
              <w:spacing w:line="320" w:lineRule="exact"/>
              <w:rPr>
                <w:color w:val="000000"/>
                <w:sz w:val="18"/>
                <w:szCs w:val="18"/>
              </w:rPr>
            </w:pPr>
            <w:r>
              <w:rPr>
                <w:rFonts w:hint="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 w:type="dxa"/>
          </w:tcPr>
          <w:p>
            <w:pPr>
              <w:spacing w:line="320" w:lineRule="exact"/>
              <w:rPr>
                <w:color w:val="000000"/>
                <w:sz w:val="18"/>
                <w:szCs w:val="18"/>
              </w:rPr>
            </w:pPr>
            <w:r>
              <w:rPr>
                <w:color w:val="000000"/>
                <w:sz w:val="18"/>
                <w:szCs w:val="18"/>
              </w:rPr>
              <w:t>3</w:t>
            </w:r>
          </w:p>
        </w:tc>
        <w:tc>
          <w:tcPr>
            <w:tcW w:w="1188" w:type="dxa"/>
          </w:tcPr>
          <w:p>
            <w:pPr>
              <w:spacing w:line="320" w:lineRule="exact"/>
              <w:rPr>
                <w:color w:val="000000"/>
                <w:sz w:val="18"/>
                <w:szCs w:val="18"/>
              </w:rPr>
            </w:pPr>
            <w:r>
              <w:rPr>
                <w:color w:val="000000"/>
                <w:sz w:val="18"/>
                <w:szCs w:val="18"/>
              </w:rPr>
              <w:t>案例分析</w:t>
            </w:r>
          </w:p>
        </w:tc>
        <w:tc>
          <w:tcPr>
            <w:tcW w:w="1140" w:type="dxa"/>
          </w:tcPr>
          <w:p>
            <w:pPr>
              <w:spacing w:line="320" w:lineRule="exact"/>
              <w:rPr>
                <w:color w:val="000000"/>
                <w:sz w:val="18"/>
                <w:szCs w:val="18"/>
              </w:rPr>
            </w:pPr>
          </w:p>
        </w:tc>
        <w:tc>
          <w:tcPr>
            <w:tcW w:w="1140" w:type="dxa"/>
          </w:tcPr>
          <w:p>
            <w:pPr>
              <w:spacing w:line="320" w:lineRule="exact"/>
              <w:rPr>
                <w:color w:val="000000"/>
                <w:sz w:val="18"/>
                <w:szCs w:val="18"/>
              </w:rPr>
            </w:pPr>
          </w:p>
        </w:tc>
        <w:tc>
          <w:tcPr>
            <w:tcW w:w="1125" w:type="dxa"/>
          </w:tcPr>
          <w:p>
            <w:pPr>
              <w:spacing w:line="320" w:lineRule="exact"/>
              <w:rPr>
                <w:color w:val="000000"/>
                <w:sz w:val="18"/>
                <w:szCs w:val="18"/>
              </w:rPr>
            </w:pPr>
            <w:r>
              <w:rPr>
                <w:rFonts w:hint="eastAsia"/>
                <w:color w:val="000000"/>
                <w:sz w:val="18"/>
                <w:szCs w:val="18"/>
              </w:rPr>
              <w:t>5</w:t>
            </w:r>
          </w:p>
        </w:tc>
        <w:tc>
          <w:tcPr>
            <w:tcW w:w="1080" w:type="dxa"/>
          </w:tcPr>
          <w:p>
            <w:pPr>
              <w:spacing w:line="320" w:lineRule="exact"/>
              <w:rPr>
                <w:color w:val="000000"/>
                <w:sz w:val="18"/>
                <w:szCs w:val="18"/>
              </w:rPr>
            </w:pPr>
            <w:r>
              <w:rPr>
                <w:rFonts w:hint="eastAsia"/>
                <w:color w:val="000000"/>
                <w:sz w:val="18"/>
                <w:szCs w:val="18"/>
              </w:rPr>
              <w:t>5</w:t>
            </w:r>
          </w:p>
        </w:tc>
        <w:tc>
          <w:tcPr>
            <w:tcW w:w="1142" w:type="dxa"/>
          </w:tcPr>
          <w:p>
            <w:pPr>
              <w:spacing w:line="320" w:lineRule="exact"/>
              <w:rPr>
                <w:color w:val="000000"/>
                <w:sz w:val="18"/>
                <w:szCs w:val="18"/>
              </w:rPr>
            </w:pPr>
          </w:p>
        </w:tc>
        <w:tc>
          <w:tcPr>
            <w:tcW w:w="1106" w:type="dxa"/>
          </w:tcPr>
          <w:p>
            <w:pPr>
              <w:spacing w:line="320" w:lineRule="exact"/>
              <w:rPr>
                <w:color w:val="000000"/>
                <w:sz w:val="18"/>
                <w:szCs w:val="18"/>
              </w:rPr>
            </w:pPr>
            <w:r>
              <w:rPr>
                <w:rFonts w:hint="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spacing w:line="320" w:lineRule="exact"/>
              <w:rPr>
                <w:color w:val="000000"/>
                <w:sz w:val="18"/>
                <w:szCs w:val="18"/>
              </w:rPr>
            </w:pPr>
            <w:r>
              <w:rPr>
                <w:rFonts w:hint="eastAsia"/>
                <w:color w:val="000000"/>
                <w:sz w:val="18"/>
                <w:szCs w:val="18"/>
              </w:rPr>
              <w:t>4</w:t>
            </w:r>
          </w:p>
        </w:tc>
        <w:tc>
          <w:tcPr>
            <w:tcW w:w="1188" w:type="dxa"/>
          </w:tcPr>
          <w:p>
            <w:pPr>
              <w:spacing w:line="320" w:lineRule="exact"/>
              <w:rPr>
                <w:color w:val="000000"/>
                <w:sz w:val="18"/>
                <w:szCs w:val="18"/>
              </w:rPr>
            </w:pPr>
            <w:r>
              <w:rPr>
                <w:rFonts w:hint="eastAsia"/>
                <w:color w:val="000000"/>
                <w:sz w:val="18"/>
                <w:szCs w:val="18"/>
              </w:rPr>
              <w:t>课程表现</w:t>
            </w:r>
          </w:p>
        </w:tc>
        <w:tc>
          <w:tcPr>
            <w:tcW w:w="1140" w:type="dxa"/>
          </w:tcPr>
          <w:p>
            <w:pPr>
              <w:spacing w:line="320" w:lineRule="exact"/>
              <w:rPr>
                <w:color w:val="000000"/>
                <w:sz w:val="18"/>
                <w:szCs w:val="18"/>
              </w:rPr>
            </w:pPr>
          </w:p>
        </w:tc>
        <w:tc>
          <w:tcPr>
            <w:tcW w:w="1140" w:type="dxa"/>
          </w:tcPr>
          <w:p>
            <w:pPr>
              <w:spacing w:line="320" w:lineRule="exact"/>
              <w:rPr>
                <w:color w:val="000000"/>
                <w:sz w:val="18"/>
                <w:szCs w:val="18"/>
              </w:rPr>
            </w:pPr>
          </w:p>
        </w:tc>
        <w:tc>
          <w:tcPr>
            <w:tcW w:w="1125" w:type="dxa"/>
          </w:tcPr>
          <w:p>
            <w:pPr>
              <w:spacing w:line="320" w:lineRule="exact"/>
              <w:rPr>
                <w:color w:val="000000"/>
                <w:sz w:val="18"/>
                <w:szCs w:val="18"/>
              </w:rPr>
            </w:pPr>
          </w:p>
        </w:tc>
        <w:tc>
          <w:tcPr>
            <w:tcW w:w="1080" w:type="dxa"/>
          </w:tcPr>
          <w:p>
            <w:pPr>
              <w:spacing w:line="320" w:lineRule="exact"/>
              <w:rPr>
                <w:color w:val="000000"/>
                <w:sz w:val="18"/>
                <w:szCs w:val="18"/>
              </w:rPr>
            </w:pPr>
          </w:p>
        </w:tc>
        <w:tc>
          <w:tcPr>
            <w:tcW w:w="1142" w:type="dxa"/>
          </w:tcPr>
          <w:p>
            <w:pPr>
              <w:spacing w:line="320" w:lineRule="exact"/>
              <w:rPr>
                <w:color w:val="000000"/>
                <w:sz w:val="18"/>
                <w:szCs w:val="18"/>
              </w:rPr>
            </w:pPr>
            <w:r>
              <w:rPr>
                <w:rFonts w:hint="eastAsia"/>
                <w:color w:val="000000"/>
                <w:sz w:val="18"/>
                <w:szCs w:val="18"/>
              </w:rPr>
              <w:t>10</w:t>
            </w:r>
          </w:p>
        </w:tc>
        <w:tc>
          <w:tcPr>
            <w:tcW w:w="1106" w:type="dxa"/>
          </w:tcPr>
          <w:p>
            <w:pPr>
              <w:spacing w:line="320" w:lineRule="exact"/>
              <w:rPr>
                <w:color w:val="000000"/>
                <w:sz w:val="18"/>
                <w:szCs w:val="18"/>
              </w:rPr>
            </w:pPr>
            <w:r>
              <w:rPr>
                <w:rFonts w:hint="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spacing w:line="320" w:lineRule="exact"/>
              <w:rPr>
                <w:color w:val="000000"/>
                <w:sz w:val="18"/>
                <w:szCs w:val="18"/>
              </w:rPr>
            </w:pPr>
            <w:r>
              <w:rPr>
                <w:rFonts w:hint="eastAsia"/>
                <w:color w:val="000000"/>
                <w:sz w:val="18"/>
                <w:szCs w:val="18"/>
              </w:rPr>
              <w:t>5</w:t>
            </w:r>
          </w:p>
        </w:tc>
        <w:tc>
          <w:tcPr>
            <w:tcW w:w="1188" w:type="dxa"/>
          </w:tcPr>
          <w:p>
            <w:pPr>
              <w:spacing w:line="320" w:lineRule="exact"/>
              <w:rPr>
                <w:color w:val="000000"/>
                <w:sz w:val="18"/>
                <w:szCs w:val="18"/>
              </w:rPr>
            </w:pPr>
            <w:r>
              <w:rPr>
                <w:rFonts w:hint="eastAsia"/>
                <w:color w:val="000000"/>
                <w:sz w:val="18"/>
                <w:szCs w:val="18"/>
              </w:rPr>
              <w:t>课堂出勤</w:t>
            </w:r>
          </w:p>
        </w:tc>
        <w:tc>
          <w:tcPr>
            <w:tcW w:w="1140" w:type="dxa"/>
          </w:tcPr>
          <w:p>
            <w:pPr>
              <w:spacing w:line="320" w:lineRule="exact"/>
              <w:rPr>
                <w:color w:val="000000"/>
                <w:sz w:val="18"/>
                <w:szCs w:val="18"/>
              </w:rPr>
            </w:pPr>
          </w:p>
        </w:tc>
        <w:tc>
          <w:tcPr>
            <w:tcW w:w="1140" w:type="dxa"/>
          </w:tcPr>
          <w:p>
            <w:pPr>
              <w:spacing w:line="320" w:lineRule="exact"/>
              <w:rPr>
                <w:color w:val="000000"/>
                <w:sz w:val="18"/>
                <w:szCs w:val="18"/>
              </w:rPr>
            </w:pPr>
          </w:p>
        </w:tc>
        <w:tc>
          <w:tcPr>
            <w:tcW w:w="1125" w:type="dxa"/>
          </w:tcPr>
          <w:p>
            <w:pPr>
              <w:spacing w:line="320" w:lineRule="exact"/>
              <w:rPr>
                <w:color w:val="000000"/>
                <w:sz w:val="18"/>
                <w:szCs w:val="18"/>
              </w:rPr>
            </w:pPr>
          </w:p>
        </w:tc>
        <w:tc>
          <w:tcPr>
            <w:tcW w:w="1080" w:type="dxa"/>
          </w:tcPr>
          <w:p>
            <w:pPr>
              <w:spacing w:line="320" w:lineRule="exact"/>
              <w:rPr>
                <w:color w:val="000000"/>
                <w:sz w:val="18"/>
                <w:szCs w:val="18"/>
              </w:rPr>
            </w:pPr>
          </w:p>
        </w:tc>
        <w:tc>
          <w:tcPr>
            <w:tcW w:w="1142" w:type="dxa"/>
          </w:tcPr>
          <w:p>
            <w:pPr>
              <w:spacing w:line="320" w:lineRule="exact"/>
              <w:rPr>
                <w:color w:val="000000"/>
                <w:sz w:val="18"/>
                <w:szCs w:val="18"/>
              </w:rPr>
            </w:pPr>
            <w:r>
              <w:rPr>
                <w:rFonts w:hint="eastAsia"/>
                <w:color w:val="000000"/>
                <w:sz w:val="18"/>
                <w:szCs w:val="18"/>
              </w:rPr>
              <w:t>10</w:t>
            </w:r>
          </w:p>
        </w:tc>
        <w:tc>
          <w:tcPr>
            <w:tcW w:w="1106" w:type="dxa"/>
          </w:tcPr>
          <w:p>
            <w:pPr>
              <w:spacing w:line="320" w:lineRule="exact"/>
              <w:rPr>
                <w:color w:val="000000"/>
                <w:sz w:val="18"/>
                <w:szCs w:val="18"/>
              </w:rPr>
            </w:pPr>
            <w:r>
              <w:rPr>
                <w:rFonts w:hint="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spacing w:line="320" w:lineRule="exact"/>
              <w:rPr>
                <w:color w:val="000000"/>
                <w:sz w:val="18"/>
                <w:szCs w:val="18"/>
              </w:rPr>
            </w:pPr>
          </w:p>
        </w:tc>
        <w:tc>
          <w:tcPr>
            <w:tcW w:w="1188" w:type="dxa"/>
          </w:tcPr>
          <w:p>
            <w:pPr>
              <w:spacing w:line="320" w:lineRule="exact"/>
              <w:rPr>
                <w:color w:val="000000"/>
                <w:sz w:val="18"/>
                <w:szCs w:val="18"/>
              </w:rPr>
            </w:pPr>
          </w:p>
        </w:tc>
        <w:tc>
          <w:tcPr>
            <w:tcW w:w="1140" w:type="dxa"/>
          </w:tcPr>
          <w:p>
            <w:pPr>
              <w:spacing w:line="320" w:lineRule="exact"/>
              <w:rPr>
                <w:color w:val="000000"/>
                <w:sz w:val="18"/>
                <w:szCs w:val="18"/>
              </w:rPr>
            </w:pPr>
            <w:r>
              <w:rPr>
                <w:rFonts w:hint="eastAsia"/>
                <w:color w:val="000000"/>
                <w:sz w:val="18"/>
                <w:szCs w:val="18"/>
              </w:rPr>
              <w:t>5</w:t>
            </w:r>
          </w:p>
        </w:tc>
        <w:tc>
          <w:tcPr>
            <w:tcW w:w="1140" w:type="dxa"/>
          </w:tcPr>
          <w:p>
            <w:pPr>
              <w:spacing w:line="320" w:lineRule="exact"/>
              <w:rPr>
                <w:color w:val="000000"/>
                <w:sz w:val="18"/>
                <w:szCs w:val="18"/>
              </w:rPr>
            </w:pPr>
            <w:r>
              <w:rPr>
                <w:rFonts w:hint="eastAsia"/>
                <w:color w:val="000000"/>
                <w:sz w:val="18"/>
                <w:szCs w:val="18"/>
              </w:rPr>
              <w:t>5</w:t>
            </w:r>
          </w:p>
        </w:tc>
        <w:tc>
          <w:tcPr>
            <w:tcW w:w="1125" w:type="dxa"/>
          </w:tcPr>
          <w:p>
            <w:pPr>
              <w:spacing w:line="320" w:lineRule="exact"/>
              <w:rPr>
                <w:color w:val="000000"/>
                <w:sz w:val="18"/>
                <w:szCs w:val="18"/>
              </w:rPr>
            </w:pPr>
            <w:r>
              <w:rPr>
                <w:rFonts w:hint="eastAsia"/>
                <w:color w:val="000000"/>
                <w:sz w:val="18"/>
                <w:szCs w:val="18"/>
              </w:rPr>
              <w:t>40</w:t>
            </w:r>
          </w:p>
        </w:tc>
        <w:tc>
          <w:tcPr>
            <w:tcW w:w="1080" w:type="dxa"/>
          </w:tcPr>
          <w:p>
            <w:pPr>
              <w:spacing w:line="320" w:lineRule="exact"/>
              <w:rPr>
                <w:color w:val="000000"/>
                <w:sz w:val="18"/>
                <w:szCs w:val="18"/>
              </w:rPr>
            </w:pPr>
            <w:r>
              <w:rPr>
                <w:rFonts w:hint="eastAsia"/>
                <w:color w:val="000000"/>
                <w:sz w:val="18"/>
                <w:szCs w:val="18"/>
              </w:rPr>
              <w:t>25</w:t>
            </w:r>
          </w:p>
        </w:tc>
        <w:tc>
          <w:tcPr>
            <w:tcW w:w="1142" w:type="dxa"/>
          </w:tcPr>
          <w:p>
            <w:pPr>
              <w:spacing w:line="320" w:lineRule="exact"/>
              <w:rPr>
                <w:color w:val="000000"/>
                <w:sz w:val="18"/>
                <w:szCs w:val="18"/>
              </w:rPr>
            </w:pPr>
            <w:r>
              <w:rPr>
                <w:rFonts w:hint="eastAsia"/>
                <w:color w:val="000000"/>
                <w:sz w:val="18"/>
                <w:szCs w:val="18"/>
              </w:rPr>
              <w:t>25</w:t>
            </w:r>
          </w:p>
        </w:tc>
        <w:tc>
          <w:tcPr>
            <w:tcW w:w="1106" w:type="dxa"/>
          </w:tcPr>
          <w:p>
            <w:pPr>
              <w:spacing w:line="320" w:lineRule="exact"/>
              <w:rPr>
                <w:color w:val="000000"/>
                <w:sz w:val="18"/>
                <w:szCs w:val="18"/>
              </w:rPr>
            </w:pPr>
            <w:r>
              <w:rPr>
                <w:rFonts w:hint="eastAsia"/>
                <w:color w:val="000000"/>
                <w:sz w:val="18"/>
                <w:szCs w:val="18"/>
              </w:rPr>
              <w:t>100</w:t>
            </w:r>
          </w:p>
        </w:tc>
      </w:tr>
    </w:tbl>
    <w:p>
      <w:pPr>
        <w:spacing w:line="320" w:lineRule="exact"/>
        <w:rPr>
          <w:rFonts w:ascii="等线" w:hAnsi="等线" w:eastAsia="等线"/>
          <w:color w:val="000000"/>
          <w:sz w:val="20"/>
          <w:szCs w:val="20"/>
        </w:rPr>
      </w:pPr>
    </w:p>
    <w:p>
      <w:pPr>
        <w:widowControl/>
        <w:snapToGrid w:val="0"/>
        <w:spacing w:line="540" w:lineRule="exact"/>
        <w:jc w:val="center"/>
        <w:rPr>
          <w:rFonts w:ascii="黑体" w:hAnsi="黑体" w:eastAsia="黑体"/>
          <w:color w:val="000000"/>
          <w:sz w:val="24"/>
        </w:rPr>
      </w:pPr>
      <w:r>
        <w:rPr>
          <w:rFonts w:hint="eastAsia" w:ascii="黑体" w:hAnsi="黑体" w:eastAsia="黑体"/>
          <w:color w:val="000000"/>
          <w:sz w:val="24"/>
        </w:rPr>
        <w:t>评分标准表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980"/>
        <w:gridCol w:w="5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w:t>
            </w:r>
          </w:p>
        </w:tc>
        <w:tc>
          <w:tcPr>
            <w:tcW w:w="1980" w:type="dxa"/>
            <w:vAlign w:val="center"/>
          </w:tcPr>
          <w:p>
            <w:pPr>
              <w:spacing w:line="320" w:lineRule="exact"/>
              <w:jc w:val="center"/>
              <w:rPr>
                <w:color w:val="000000"/>
                <w:sz w:val="18"/>
                <w:szCs w:val="18"/>
              </w:rPr>
            </w:pPr>
            <w:r>
              <w:rPr>
                <w:color w:val="000000"/>
                <w:sz w:val="18"/>
                <w:szCs w:val="18"/>
              </w:rPr>
              <w:t>成绩分段</w:t>
            </w:r>
          </w:p>
        </w:tc>
        <w:tc>
          <w:tcPr>
            <w:tcW w:w="5731" w:type="dxa"/>
            <w:vAlign w:val="center"/>
          </w:tcPr>
          <w:p>
            <w:pPr>
              <w:spacing w:line="320" w:lineRule="exact"/>
              <w:jc w:val="center"/>
              <w:rPr>
                <w:color w:val="000000"/>
                <w:sz w:val="18"/>
                <w:szCs w:val="18"/>
              </w:rPr>
            </w:pPr>
            <w:r>
              <w:rPr>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20" w:lineRule="exact"/>
              <w:jc w:val="center"/>
              <w:rPr>
                <w:color w:val="000000"/>
                <w:sz w:val="18"/>
                <w:szCs w:val="18"/>
              </w:rPr>
            </w:pPr>
            <w:r>
              <w:rPr>
                <w:color w:val="000000"/>
                <w:sz w:val="18"/>
                <w:szCs w:val="18"/>
              </w:rPr>
              <w:t>期末笔试</w:t>
            </w:r>
          </w:p>
        </w:tc>
        <w:tc>
          <w:tcPr>
            <w:tcW w:w="7711" w:type="dxa"/>
            <w:gridSpan w:val="2"/>
            <w:vAlign w:val="center"/>
          </w:tcPr>
          <w:p>
            <w:pPr>
              <w:spacing w:line="320" w:lineRule="exact"/>
              <w:jc w:val="center"/>
              <w:rPr>
                <w:color w:val="000000"/>
                <w:sz w:val="18"/>
                <w:szCs w:val="18"/>
              </w:rPr>
            </w:pPr>
            <w:r>
              <w:rPr>
                <w:color w:val="000000"/>
                <w:sz w:val="18"/>
                <w:szCs w:val="18"/>
              </w:rPr>
              <w:t>依据《内蒙古农业大学考试试题参考答案及评分标准》执行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方式1</w:t>
            </w:r>
          </w:p>
        </w:tc>
        <w:tc>
          <w:tcPr>
            <w:tcW w:w="1980" w:type="dxa"/>
            <w:vAlign w:val="center"/>
          </w:tcPr>
          <w:p>
            <w:pPr>
              <w:spacing w:line="320" w:lineRule="exact"/>
              <w:jc w:val="center"/>
              <w:rPr>
                <w:color w:val="000000"/>
                <w:sz w:val="18"/>
                <w:szCs w:val="18"/>
              </w:rPr>
            </w:pPr>
            <w:r>
              <w:rPr>
                <w:color w:val="000000"/>
                <w:sz w:val="18"/>
                <w:szCs w:val="18"/>
              </w:rPr>
              <w:t>90-100分（优）</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80-89分（良）</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70-79分（中）</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60-69分（及格）</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0-59分（不及格）</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方式2</w:t>
            </w:r>
          </w:p>
        </w:tc>
        <w:tc>
          <w:tcPr>
            <w:tcW w:w="1980" w:type="dxa"/>
            <w:vAlign w:val="center"/>
          </w:tcPr>
          <w:p>
            <w:pPr>
              <w:spacing w:line="320" w:lineRule="exact"/>
              <w:jc w:val="center"/>
              <w:rPr>
                <w:color w:val="000000"/>
                <w:sz w:val="18"/>
                <w:szCs w:val="18"/>
              </w:rPr>
            </w:pPr>
            <w:r>
              <w:rPr>
                <w:color w:val="000000"/>
                <w:sz w:val="18"/>
                <w:szCs w:val="18"/>
              </w:rPr>
              <w:t>90-100分（优）</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80-89分（良）</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70-79分（中）</w:t>
            </w:r>
          </w:p>
        </w:tc>
        <w:tc>
          <w:tcPr>
            <w:tcW w:w="5731" w:type="dxa"/>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60-69分（及格）</w:t>
            </w:r>
          </w:p>
        </w:tc>
        <w:tc>
          <w:tcPr>
            <w:tcW w:w="0" w:type="auto"/>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0-59分（不及格）</w:t>
            </w:r>
          </w:p>
        </w:tc>
        <w:tc>
          <w:tcPr>
            <w:tcW w:w="0" w:type="auto"/>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方式3</w:t>
            </w:r>
          </w:p>
        </w:tc>
        <w:tc>
          <w:tcPr>
            <w:tcW w:w="0" w:type="auto"/>
            <w:vAlign w:val="center"/>
          </w:tcPr>
          <w:p>
            <w:pPr>
              <w:spacing w:line="320" w:lineRule="exact"/>
              <w:jc w:val="center"/>
              <w:rPr>
                <w:color w:val="000000"/>
                <w:sz w:val="18"/>
                <w:szCs w:val="18"/>
              </w:rPr>
            </w:pPr>
            <w:r>
              <w:rPr>
                <w:color w:val="000000"/>
                <w:sz w:val="18"/>
                <w:szCs w:val="18"/>
              </w:rPr>
              <w:t>90-100分（优）</w:t>
            </w:r>
          </w:p>
        </w:tc>
        <w:tc>
          <w:tcPr>
            <w:tcW w:w="0" w:type="auto"/>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80-89分（良）</w:t>
            </w:r>
          </w:p>
        </w:tc>
        <w:tc>
          <w:tcPr>
            <w:tcW w:w="0" w:type="auto"/>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70-79分（中）</w:t>
            </w:r>
          </w:p>
        </w:tc>
        <w:tc>
          <w:tcPr>
            <w:tcW w:w="0" w:type="auto"/>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60-69分（及格）</w:t>
            </w:r>
          </w:p>
        </w:tc>
        <w:tc>
          <w:tcPr>
            <w:tcW w:w="0" w:type="auto"/>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0-59分（不及格）</w:t>
            </w:r>
          </w:p>
        </w:tc>
        <w:tc>
          <w:tcPr>
            <w:tcW w:w="0" w:type="auto"/>
          </w:tcPr>
          <w:p>
            <w:pPr>
              <w:spacing w:line="320" w:lineRule="exact"/>
              <w:jc w:val="center"/>
              <w:rPr>
                <w:color w:val="000000"/>
                <w:sz w:val="18"/>
                <w:szCs w:val="18"/>
              </w:rPr>
            </w:pPr>
          </w:p>
        </w:tc>
      </w:tr>
    </w:tbl>
    <w:p>
      <w:pPr>
        <w:spacing w:line="320" w:lineRule="exact"/>
        <w:rPr>
          <w:rFonts w:ascii="等线" w:hAnsi="等线"/>
          <w:color w:val="000000"/>
          <w:sz w:val="20"/>
          <w:szCs w:val="20"/>
        </w:rPr>
      </w:pPr>
      <w:r>
        <w:rPr>
          <w:color w:val="000000"/>
          <w:sz w:val="18"/>
          <w:szCs w:val="18"/>
        </w:rPr>
        <w:t>注：各</w:t>
      </w:r>
      <w:r>
        <w:rPr>
          <w:rFonts w:hint="eastAsia"/>
          <w:color w:val="000000"/>
          <w:sz w:val="18"/>
          <w:szCs w:val="18"/>
        </w:rPr>
        <w:t>评价</w:t>
      </w:r>
      <w:r>
        <w:rPr>
          <w:color w:val="000000"/>
          <w:sz w:val="18"/>
          <w:szCs w:val="18"/>
        </w:rPr>
        <w:t>方式可根据需要逐一填写评分标准</w:t>
      </w:r>
      <w:r>
        <w:rPr>
          <w:rFonts w:hint="eastAsia"/>
          <w:color w:val="000000"/>
          <w:sz w:val="18"/>
          <w:szCs w:val="18"/>
        </w:rPr>
        <w:t>。</w:t>
      </w:r>
    </w:p>
    <w:p>
      <w:pPr>
        <w:widowControl/>
        <w:snapToGrid w:val="0"/>
        <w:spacing w:line="540" w:lineRule="exact"/>
        <w:jc w:val="left"/>
        <w:rPr>
          <w:rFonts w:ascii="黑体" w:hAnsi="黑体" w:eastAsia="黑体"/>
          <w:color w:val="000000"/>
          <w:sz w:val="24"/>
        </w:rPr>
      </w:pPr>
      <w:r>
        <w:rPr>
          <w:rFonts w:ascii="黑体" w:hAnsi="黑体" w:eastAsia="黑体"/>
          <w:color w:val="000000"/>
          <w:sz w:val="24"/>
        </w:rPr>
        <w:t>五</w:t>
      </w:r>
      <w:r>
        <w:rPr>
          <w:rFonts w:hint="eastAsia" w:ascii="黑体" w:hAnsi="黑体" w:eastAsia="黑体"/>
          <w:color w:val="000000"/>
          <w:sz w:val="24"/>
        </w:rPr>
        <w:t>、教材及参考资料</w:t>
      </w:r>
    </w:p>
    <w:p>
      <w:pPr>
        <w:pStyle w:val="4"/>
        <w:spacing w:beforeAutospacing="0" w:afterAutospacing="0" w:line="320" w:lineRule="exact"/>
        <w:ind w:firstLine="422" w:firstLineChars="200"/>
        <w:jc w:val="both"/>
        <w:rPr>
          <w:rFonts w:cs="Mongolian Baiti"/>
          <w:color w:val="000000"/>
          <w:sz w:val="21"/>
          <w:szCs w:val="21"/>
        </w:rPr>
      </w:pPr>
      <w:r>
        <w:rPr>
          <w:rFonts w:hint="eastAsia" w:cs="Arial"/>
          <w:b/>
          <w:bCs/>
          <w:color w:val="000000"/>
          <w:sz w:val="21"/>
          <w:szCs w:val="21"/>
        </w:rPr>
        <w:t>（一）教材：</w:t>
      </w:r>
    </w:p>
    <w:p>
      <w:pPr>
        <w:pStyle w:val="4"/>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孙长灏.营养与食品卫生学.北京：人民卫生出版社,2017.8（第8版）</w:t>
      </w:r>
    </w:p>
    <w:p>
      <w:pPr>
        <w:pStyle w:val="4"/>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何计国.食品卫生学.北京：中国农业大学出版社,2003.1</w:t>
      </w:r>
    </w:p>
    <w:p>
      <w:pPr>
        <w:pStyle w:val="4"/>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纵伟.食品卫生学.北京：中国轻工业出版社,2011.4</w:t>
      </w:r>
    </w:p>
    <w:p>
      <w:pPr>
        <w:pStyle w:val="4"/>
        <w:spacing w:beforeAutospacing="0" w:afterAutospacing="0" w:line="320" w:lineRule="exact"/>
        <w:ind w:firstLine="422" w:firstLineChars="200"/>
        <w:jc w:val="both"/>
        <w:rPr>
          <w:rFonts w:cs="Arial"/>
          <w:b/>
          <w:bCs/>
          <w:color w:val="000000"/>
          <w:sz w:val="21"/>
          <w:szCs w:val="21"/>
        </w:rPr>
      </w:pPr>
      <w:r>
        <w:rPr>
          <w:rFonts w:hint="eastAsia" w:cs="Arial"/>
          <w:b/>
          <w:bCs/>
          <w:color w:val="000000"/>
          <w:sz w:val="21"/>
          <w:szCs w:val="21"/>
        </w:rPr>
        <w:t>（二）参考书：</w:t>
      </w:r>
    </w:p>
    <w:p>
      <w:pPr>
        <w:pStyle w:val="4"/>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1.张彦明,余锐萍.动物性食品卫生学（第3版）.北京：中国农业出版社,2006.12</w:t>
      </w:r>
    </w:p>
    <w:p>
      <w:pPr>
        <w:pStyle w:val="4"/>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 xml:space="preserve">2.钱和.食品卫生学-实践与原理.北京：化工出版社,2010 </w:t>
      </w:r>
    </w:p>
    <w:p>
      <w:pPr>
        <w:pStyle w:val="4"/>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3.李勇.营养与食品卫生学.北京：北京大学医学出版社,2005.9</w:t>
      </w:r>
    </w:p>
    <w:p>
      <w:pPr>
        <w:widowControl/>
        <w:ind w:firstLine="480" w:firstLineChars="200"/>
        <w:jc w:val="left"/>
        <w:rPr>
          <w:rFonts w:ascii="宋体" w:hAnsi="宋体" w:cs="宋体"/>
          <w:color w:val="000000"/>
          <w:kern w:val="0"/>
          <w:sz w:val="24"/>
        </w:rPr>
      </w:pPr>
    </w:p>
    <w:p>
      <w:pPr>
        <w:spacing w:line="360" w:lineRule="auto"/>
        <w:ind w:firstLine="6480" w:firstLineChars="2700"/>
        <w:jc w:val="left"/>
        <w:rPr>
          <w:rFonts w:ascii="宋体" w:hAnsi="宋体" w:cs="宋体"/>
          <w:color w:val="000000"/>
          <w:sz w:val="24"/>
        </w:rPr>
      </w:pPr>
    </w:p>
    <w:p>
      <w:pPr>
        <w:spacing w:line="320" w:lineRule="exact"/>
        <w:ind w:firstLine="480" w:firstLineChars="200"/>
        <w:rPr>
          <w:rFonts w:ascii="宋体" w:hAnsi="宋体" w:cs="宋体"/>
          <w:color w:val="000000"/>
          <w:kern w:val="0"/>
          <w:sz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670F"/>
    <w:rsid w:val="00045AAE"/>
    <w:rsid w:val="000C11FF"/>
    <w:rsid w:val="00121687"/>
    <w:rsid w:val="00122691"/>
    <w:rsid w:val="001677A4"/>
    <w:rsid w:val="00381BDE"/>
    <w:rsid w:val="0039042E"/>
    <w:rsid w:val="00397C5D"/>
    <w:rsid w:val="003A3893"/>
    <w:rsid w:val="003A6885"/>
    <w:rsid w:val="003D5747"/>
    <w:rsid w:val="0050209D"/>
    <w:rsid w:val="00524CD6"/>
    <w:rsid w:val="00534B13"/>
    <w:rsid w:val="005E5F40"/>
    <w:rsid w:val="0086213F"/>
    <w:rsid w:val="008A2220"/>
    <w:rsid w:val="00A0235F"/>
    <w:rsid w:val="00CA1150"/>
    <w:rsid w:val="00D50BA6"/>
    <w:rsid w:val="00DA597A"/>
    <w:rsid w:val="00DB314A"/>
    <w:rsid w:val="00DB3BCC"/>
    <w:rsid w:val="00DD029C"/>
    <w:rsid w:val="00E32344"/>
    <w:rsid w:val="00E66894"/>
    <w:rsid w:val="00E94208"/>
    <w:rsid w:val="00F2252A"/>
    <w:rsid w:val="00F7448E"/>
    <w:rsid w:val="00F7670F"/>
    <w:rsid w:val="062978D7"/>
    <w:rsid w:val="07A317FF"/>
    <w:rsid w:val="07BB49B8"/>
    <w:rsid w:val="08184FD4"/>
    <w:rsid w:val="0B8656FE"/>
    <w:rsid w:val="0BC84931"/>
    <w:rsid w:val="0C6E5A5B"/>
    <w:rsid w:val="0F2B4218"/>
    <w:rsid w:val="0F3134FD"/>
    <w:rsid w:val="10482820"/>
    <w:rsid w:val="10877451"/>
    <w:rsid w:val="12A77F26"/>
    <w:rsid w:val="13143417"/>
    <w:rsid w:val="14023968"/>
    <w:rsid w:val="14A33C90"/>
    <w:rsid w:val="158916B1"/>
    <w:rsid w:val="15D731EF"/>
    <w:rsid w:val="16815100"/>
    <w:rsid w:val="17BE5DB4"/>
    <w:rsid w:val="18A37EE7"/>
    <w:rsid w:val="1AC1632A"/>
    <w:rsid w:val="1BC87C33"/>
    <w:rsid w:val="1F614516"/>
    <w:rsid w:val="202F39FB"/>
    <w:rsid w:val="20351169"/>
    <w:rsid w:val="21A12A5D"/>
    <w:rsid w:val="256357E1"/>
    <w:rsid w:val="26B02B11"/>
    <w:rsid w:val="28C91912"/>
    <w:rsid w:val="2BD06FB3"/>
    <w:rsid w:val="2D5217BB"/>
    <w:rsid w:val="2EC11B75"/>
    <w:rsid w:val="30D73040"/>
    <w:rsid w:val="31B6AAC3"/>
    <w:rsid w:val="34EA4A1B"/>
    <w:rsid w:val="388F6AE4"/>
    <w:rsid w:val="3B3769FC"/>
    <w:rsid w:val="3CC550B7"/>
    <w:rsid w:val="3DBA1C27"/>
    <w:rsid w:val="3ECFD876"/>
    <w:rsid w:val="40E9206C"/>
    <w:rsid w:val="41B62652"/>
    <w:rsid w:val="43904CBF"/>
    <w:rsid w:val="448D6F89"/>
    <w:rsid w:val="44DFE14C"/>
    <w:rsid w:val="45280D42"/>
    <w:rsid w:val="4B441C7A"/>
    <w:rsid w:val="4EFF39FD"/>
    <w:rsid w:val="4F8B5E9F"/>
    <w:rsid w:val="505C6E12"/>
    <w:rsid w:val="51530573"/>
    <w:rsid w:val="52BC762E"/>
    <w:rsid w:val="5322590D"/>
    <w:rsid w:val="53652686"/>
    <w:rsid w:val="540D330F"/>
    <w:rsid w:val="56C59575"/>
    <w:rsid w:val="56FF9740"/>
    <w:rsid w:val="570F3F3F"/>
    <w:rsid w:val="574B702E"/>
    <w:rsid w:val="57537DEA"/>
    <w:rsid w:val="575F3E6B"/>
    <w:rsid w:val="59FF4302"/>
    <w:rsid w:val="5C231416"/>
    <w:rsid w:val="5DEC1422"/>
    <w:rsid w:val="5E3C2958"/>
    <w:rsid w:val="6074008C"/>
    <w:rsid w:val="612E2D18"/>
    <w:rsid w:val="61737572"/>
    <w:rsid w:val="617A3CDD"/>
    <w:rsid w:val="62A774D5"/>
    <w:rsid w:val="65BB5FB5"/>
    <w:rsid w:val="65D7046D"/>
    <w:rsid w:val="675E5AF5"/>
    <w:rsid w:val="6819138C"/>
    <w:rsid w:val="6A7C42A3"/>
    <w:rsid w:val="6BA13E11"/>
    <w:rsid w:val="6C041975"/>
    <w:rsid w:val="6F6432E2"/>
    <w:rsid w:val="6F755EFB"/>
    <w:rsid w:val="760B5587"/>
    <w:rsid w:val="76AF6B35"/>
    <w:rsid w:val="76EC38F3"/>
    <w:rsid w:val="77201333"/>
    <w:rsid w:val="77F3890F"/>
    <w:rsid w:val="77FBC803"/>
    <w:rsid w:val="78D73B2B"/>
    <w:rsid w:val="7AC55719"/>
    <w:rsid w:val="7B62E662"/>
    <w:rsid w:val="7BBF99EC"/>
    <w:rsid w:val="7BC228AB"/>
    <w:rsid w:val="7E813B0F"/>
    <w:rsid w:val="7EEF5C4A"/>
    <w:rsid w:val="7F7726EF"/>
    <w:rsid w:val="7FF582AD"/>
    <w:rsid w:val="7FF77212"/>
    <w:rsid w:val="9DF8F065"/>
    <w:rsid w:val="BAFDC344"/>
    <w:rsid w:val="BB5F2AA1"/>
    <w:rsid w:val="BFAF881E"/>
    <w:rsid w:val="D99BD4D7"/>
    <w:rsid w:val="DAFDF5C3"/>
    <w:rsid w:val="DF7EDE59"/>
    <w:rsid w:val="DFDFED03"/>
    <w:rsid w:val="E9F5BF4D"/>
    <w:rsid w:val="EE774B13"/>
    <w:rsid w:val="F2ADCBE0"/>
    <w:rsid w:val="F347608C"/>
    <w:rsid w:val="F3FB3130"/>
    <w:rsid w:val="F54FAD5D"/>
    <w:rsid w:val="F564D582"/>
    <w:rsid w:val="F5BE3922"/>
    <w:rsid w:val="F6AD77EE"/>
    <w:rsid w:val="F7D96842"/>
    <w:rsid w:val="FA7BDB9F"/>
    <w:rsid w:val="FBEF3CB8"/>
    <w:rsid w:val="FD73EC7B"/>
    <w:rsid w:val="FFCF1DCD"/>
    <w:rsid w:val="FFD3C9F0"/>
    <w:rsid w:val="FFF21B28"/>
    <w:rsid w:val="FFF78669"/>
    <w:rsid w:val="FFFFD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SuXiChao</Company>
  <Pages>9</Pages>
  <Words>715</Words>
  <Characters>4079</Characters>
  <Lines>33</Lines>
  <Paragraphs>9</Paragraphs>
  <TotalTime>168</TotalTime>
  <ScaleCrop>false</ScaleCrop>
  <LinksUpToDate>false</LinksUpToDate>
  <CharactersWithSpaces>4785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2021-04-07T13:50:00Z</dcterms:created>
  <dc:creator>Administrator</dc:creator>
  <cp:lastModifiedBy>依拉那</cp:lastModifiedBy>
  <dcterms:modified xsi:type="dcterms:W3CDTF">2021-09-15T08:59:21Z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D3BBB0CF93864F5AB961E942A8EEF994</vt:lpwstr>
  </property>
</Properties>
</file>