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466" w:lineRule="auto"/>
        <w:rPr>
          <w:rFonts w:ascii="Arial"/>
          <w:sz w:val="21"/>
        </w:rPr>
      </w:pPr>
      <w:r/>
    </w:p>
    <w:p>
      <w:pPr>
        <w:ind w:left="2696"/>
        <w:spacing w:before="150" w:line="354" w:lineRule="exact"/>
        <w:outlineLvl w:val="0"/>
        <w:rPr>
          <w:rFonts w:ascii="Microsoft YaHei" w:hAnsi="Microsoft YaHei" w:eastAsia="Microsoft YaHei" w:cs="Microsoft YaHei"/>
          <w:sz w:val="35"/>
          <w:szCs w:val="35"/>
        </w:rPr>
      </w:pPr>
      <w:r>
        <w:rPr>
          <w:rFonts w:ascii="Arial" w:hAnsi="Arial" w:eastAsia="Arial" w:cs="Arial"/>
          <w:sz w:val="35"/>
          <w:szCs w:val="35"/>
          <w:spacing w:val="2"/>
          <w:position w:val="-2"/>
        </w:rPr>
        <w:t>445</w:t>
      </w:r>
      <w:r>
        <w:rPr>
          <w:rFonts w:ascii="Arial" w:hAnsi="Arial" w:eastAsia="Arial" w:cs="Arial"/>
          <w:sz w:val="35"/>
          <w:szCs w:val="35"/>
          <w:spacing w:val="92"/>
          <w:position w:val="-2"/>
        </w:rPr>
        <w:t xml:space="preserve"> </w:t>
      </w:r>
      <w:r>
        <w:rPr>
          <w:rFonts w:ascii="Microsoft YaHei" w:hAnsi="Microsoft YaHei" w:eastAsia="Microsoft YaHei" w:cs="Microsoft YaHei"/>
          <w:sz w:val="35"/>
          <w:szCs w:val="35"/>
          <w:spacing w:val="2"/>
          <w:position w:val="-2"/>
        </w:rPr>
        <w:t>汉语国际教育基础</w:t>
      </w:r>
    </w:p>
    <w:p>
      <w:pPr>
        <w:spacing w:line="289" w:lineRule="auto"/>
        <w:rPr>
          <w:rFonts w:ascii="Arial"/>
          <w:sz w:val="21"/>
        </w:rPr>
      </w:pPr>
      <w:r/>
    </w:p>
    <w:p>
      <w:pPr>
        <w:spacing w:line="289" w:lineRule="auto"/>
        <w:rPr>
          <w:rFonts w:ascii="Arial"/>
          <w:sz w:val="21"/>
        </w:rPr>
      </w:pPr>
      <w:r/>
    </w:p>
    <w:p>
      <w:pPr>
        <w:ind w:left="568"/>
        <w:spacing w:before="91" w:line="222" w:lineRule="auto"/>
        <w:rPr>
          <w:rFonts w:ascii="SimHei" w:hAnsi="SimHei" w:eastAsia="SimHei" w:cs="SimHei"/>
          <w:sz w:val="28"/>
          <w:szCs w:val="28"/>
        </w:rPr>
      </w:pPr>
      <w:r>
        <w:rPr>
          <w:rFonts w:ascii="SimHei" w:hAnsi="SimHei" w:eastAsia="SimHei" w:cs="SimHei"/>
          <w:sz w:val="28"/>
          <w:szCs w:val="28"/>
          <w:spacing w:val="-2"/>
        </w:rPr>
        <w:t>一、考试总体要求</w:t>
      </w:r>
    </w:p>
    <w:p>
      <w:pPr>
        <w:pStyle w:val="BodyText"/>
        <w:ind w:left="1" w:firstLine="563"/>
        <w:spacing w:before="143" w:line="312" w:lineRule="auto"/>
        <w:rPr/>
      </w:pPr>
      <w:r>
        <w:rPr>
          <w:spacing w:val="1"/>
        </w:rPr>
        <w:t>汉语国际教育基础考试是由汉语国际教育硕士专业学位教育指导委员</w:t>
      </w:r>
      <w:r>
        <w:rPr>
          <w:spacing w:val="7"/>
        </w:rPr>
        <w:t xml:space="preserve"> </w:t>
      </w:r>
      <w:r>
        <w:rPr>
          <w:spacing w:val="1"/>
        </w:rPr>
        <w:t>会统一制定考试大纲，教育部授权的各汉语国际教育硕士生招生院校自行</w:t>
      </w:r>
      <w:r>
        <w:rPr>
          <w:spacing w:val="6"/>
        </w:rPr>
        <w:t xml:space="preserve"> </w:t>
      </w:r>
      <w:r>
        <w:rPr>
          <w:spacing w:val="-1"/>
        </w:rPr>
        <w:t>命题的选拔性考试，</w:t>
      </w:r>
      <w:r>
        <w:rPr>
          <w:spacing w:val="-67"/>
        </w:rPr>
        <w:t xml:space="preserve"> </w:t>
      </w:r>
      <w:r>
        <w:rPr>
          <w:spacing w:val="-1"/>
        </w:rPr>
        <w:t>目的在于测试考生的中国文化、对外汉语教学基础知</w:t>
      </w:r>
      <w:r>
        <w:rPr/>
        <w:t xml:space="preserve"> </w:t>
      </w:r>
      <w:r>
        <w:rPr>
          <w:spacing w:val="1"/>
        </w:rPr>
        <w:t>识、基本素养及教案设计与写作能力。要求考生具有与汉语国际教育相关</w:t>
      </w:r>
      <w:r>
        <w:rPr>
          <w:spacing w:val="6"/>
        </w:rPr>
        <w:t xml:space="preserve"> </w:t>
      </w:r>
      <w:r>
        <w:rPr>
          <w:spacing w:val="1"/>
        </w:rPr>
        <w:t>的中国文化基础知识，具有与汉语国际教育相关的语言教学基础知识，具</w:t>
      </w:r>
      <w:r>
        <w:rPr>
          <w:spacing w:val="6"/>
        </w:rPr>
        <w:t xml:space="preserve"> </w:t>
      </w:r>
      <w:r>
        <w:rPr>
          <w:spacing w:val="-1"/>
        </w:rPr>
        <w:t>有较强的教案设计与写作能力。</w:t>
      </w:r>
    </w:p>
    <w:p>
      <w:pPr>
        <w:ind w:left="568"/>
        <w:spacing w:before="40" w:line="222" w:lineRule="auto"/>
        <w:rPr>
          <w:rFonts w:ascii="SimHei" w:hAnsi="SimHei" w:eastAsia="SimHei" w:cs="SimHei"/>
          <w:sz w:val="28"/>
          <w:szCs w:val="28"/>
        </w:rPr>
      </w:pPr>
      <w:r>
        <w:rPr>
          <w:rFonts w:ascii="SimHei" w:hAnsi="SimHei" w:eastAsia="SimHei" w:cs="SimHei"/>
          <w:sz w:val="28"/>
          <w:szCs w:val="28"/>
          <w:spacing w:val="-2"/>
        </w:rPr>
        <w:t>二、考试内容及范围</w:t>
      </w:r>
    </w:p>
    <w:p>
      <w:pPr>
        <w:pStyle w:val="BodyText"/>
        <w:ind w:left="563"/>
        <w:spacing w:before="144" w:line="221" w:lineRule="auto"/>
        <w:rPr/>
      </w:pPr>
      <w:r>
        <w:rPr>
          <w:spacing w:val="-1"/>
        </w:rPr>
        <w:t>考试内容包括中国文化和对外汉语教学两大部分，范围如下：</w:t>
      </w:r>
    </w:p>
    <w:p>
      <w:pPr>
        <w:pStyle w:val="BodyText"/>
        <w:ind w:firstLine="585"/>
        <w:spacing w:before="147" w:line="307" w:lineRule="auto"/>
        <w:rPr/>
      </w:pPr>
      <w:r>
        <w:rPr>
          <w:rFonts w:ascii="Times New Roman" w:hAnsi="Times New Roman" w:eastAsia="Times New Roman" w:cs="Times New Roman"/>
          <w:spacing w:val="1"/>
        </w:rPr>
        <w:t>1.</w:t>
      </w:r>
      <w:r>
        <w:rPr>
          <w:rFonts w:ascii="Times New Roman" w:hAnsi="Times New Roman" w:eastAsia="Times New Roman" w:cs="Times New Roman"/>
          <w:spacing w:val="-15"/>
        </w:rPr>
        <w:t xml:space="preserve"> </w:t>
      </w:r>
      <w:r>
        <w:rPr>
          <w:spacing w:val="1"/>
        </w:rPr>
        <w:t>中国文化。中国文化的基本内容，中国历史地理环境的特征，中国</w:t>
      </w:r>
      <w:r>
        <w:rPr/>
        <w:t xml:space="preserve"> </w:t>
      </w:r>
      <w:r>
        <w:rPr>
          <w:spacing w:val="1"/>
        </w:rPr>
        <w:t>传统文化的发展历程，中国的学术思想与宗教信仰，中国古代科技教育，</w:t>
      </w:r>
      <w:r>
        <w:rPr>
          <w:spacing w:val="10"/>
        </w:rPr>
        <w:t xml:space="preserve"> </w:t>
      </w:r>
      <w:r>
        <w:rPr>
          <w:spacing w:val="-1"/>
        </w:rPr>
        <w:t>中国古典文学与中国艺术，中外文化交流。</w:t>
      </w:r>
    </w:p>
    <w:p>
      <w:pPr>
        <w:pStyle w:val="BodyText"/>
        <w:ind w:left="7" w:firstLine="550"/>
        <w:spacing w:before="43" w:line="307" w:lineRule="auto"/>
        <w:rPr/>
      </w:pPr>
      <w:r>
        <w:rPr>
          <w:rFonts w:ascii="Times New Roman" w:hAnsi="Times New Roman" w:eastAsia="Times New Roman" w:cs="Times New Roman"/>
          <w:spacing w:val="4"/>
        </w:rPr>
        <w:t>2.</w:t>
      </w:r>
      <w:r>
        <w:rPr>
          <w:spacing w:val="4"/>
        </w:rPr>
        <w:t>对外汉语教学。对外汉语教学总体设计的</w:t>
      </w:r>
      <w:r>
        <w:rPr>
          <w:spacing w:val="3"/>
        </w:rPr>
        <w:t>方法和程序，对外汉语教</w:t>
      </w:r>
      <w:r>
        <w:rPr/>
        <w:t xml:space="preserve"> </w:t>
      </w:r>
      <w:r>
        <w:rPr>
          <w:spacing w:val="1"/>
        </w:rPr>
        <w:t>学的基本理论、教学法，对外汉语教材的基本理论，汉语作为第二语言的</w:t>
      </w:r>
      <w:r>
        <w:rPr/>
        <w:t xml:space="preserve"> </w:t>
      </w:r>
      <w:r>
        <w:rPr>
          <w:spacing w:val="-2"/>
        </w:rPr>
        <w:t>习得，教案写作。</w:t>
      </w:r>
    </w:p>
    <w:p>
      <w:pPr>
        <w:ind w:left="569"/>
        <w:spacing w:before="41" w:line="222" w:lineRule="auto"/>
        <w:rPr>
          <w:rFonts w:ascii="SimHei" w:hAnsi="SimHei" w:eastAsia="SimHei" w:cs="SimHei"/>
          <w:sz w:val="28"/>
          <w:szCs w:val="28"/>
        </w:rPr>
      </w:pPr>
      <w:r>
        <w:rPr>
          <w:rFonts w:ascii="SimHei" w:hAnsi="SimHei" w:eastAsia="SimHei" w:cs="SimHei"/>
          <w:sz w:val="28"/>
          <w:szCs w:val="28"/>
          <w:spacing w:val="-3"/>
        </w:rPr>
        <w:t>三、考试形式</w:t>
      </w:r>
    </w:p>
    <w:p>
      <w:pPr>
        <w:pStyle w:val="BodyText"/>
        <w:ind w:left="564"/>
        <w:spacing w:before="144" w:line="220" w:lineRule="auto"/>
        <w:rPr/>
      </w:pPr>
      <w:r>
        <w:rPr>
          <w:spacing w:val="-3"/>
        </w:rPr>
        <w:t>本考试为闭卷考试，满分为</w:t>
      </w:r>
      <w:r>
        <w:rPr>
          <w:spacing w:val="-25"/>
        </w:rPr>
        <w:t xml:space="preserve"> </w:t>
      </w:r>
      <w:r>
        <w:rPr>
          <w:rFonts w:ascii="Times New Roman" w:hAnsi="Times New Roman" w:eastAsia="Times New Roman" w:cs="Times New Roman"/>
          <w:spacing w:val="-3"/>
        </w:rPr>
        <w:t>150 </w:t>
      </w:r>
      <w:r>
        <w:rPr>
          <w:spacing w:val="-3"/>
        </w:rPr>
        <w:t>分，考试时间为</w:t>
      </w:r>
      <w:r>
        <w:rPr>
          <w:spacing w:val="-38"/>
        </w:rPr>
        <w:t xml:space="preserve"> </w:t>
      </w:r>
      <w:r>
        <w:rPr>
          <w:rFonts w:ascii="Times New Roman" w:hAnsi="Times New Roman" w:eastAsia="Times New Roman" w:cs="Times New Roman"/>
          <w:spacing w:val="-3"/>
        </w:rPr>
        <w:t>180 </w:t>
      </w:r>
      <w:r>
        <w:rPr>
          <w:spacing w:val="-3"/>
        </w:rPr>
        <w:t>分钟。</w:t>
      </w:r>
    </w:p>
    <w:p>
      <w:pPr>
        <w:ind w:left="580"/>
        <w:spacing w:before="146" w:line="223" w:lineRule="auto"/>
        <w:rPr>
          <w:rFonts w:ascii="SimHei" w:hAnsi="SimHei" w:eastAsia="SimHei" w:cs="SimHei"/>
          <w:sz w:val="28"/>
          <w:szCs w:val="28"/>
        </w:rPr>
      </w:pPr>
      <w:r>
        <w:rPr>
          <w:rFonts w:ascii="SimHei" w:hAnsi="SimHei" w:eastAsia="SimHei" w:cs="SimHei"/>
          <w:sz w:val="28"/>
          <w:szCs w:val="28"/>
          <w:spacing w:val="-4"/>
        </w:rPr>
        <w:t>四、题型及分值</w:t>
      </w:r>
    </w:p>
    <w:p>
      <w:pPr>
        <w:pStyle w:val="BodyText"/>
        <w:ind w:left="571"/>
        <w:spacing w:before="142" w:line="223" w:lineRule="auto"/>
        <w:outlineLvl w:val="1"/>
        <w:rPr/>
      </w:pPr>
      <w:r>
        <w:rPr>
          <w:b/>
          <w:bCs/>
          <w:spacing w:val="-6"/>
        </w:rPr>
        <w:t>（一）题型</w:t>
      </w:r>
    </w:p>
    <w:p>
      <w:pPr>
        <w:pStyle w:val="BodyText"/>
        <w:ind w:left="585"/>
        <w:spacing w:before="142" w:line="221" w:lineRule="auto"/>
        <w:rPr/>
      </w:pPr>
      <w:r>
        <w:rPr>
          <w:rFonts w:ascii="Times New Roman" w:hAnsi="Times New Roman" w:eastAsia="Times New Roman" w:cs="Times New Roman"/>
          <w:spacing w:val="-6"/>
        </w:rPr>
        <w:t>1.</w:t>
      </w:r>
      <w:r>
        <w:rPr>
          <w:spacing w:val="-6"/>
        </w:rPr>
        <w:t>填空题；</w:t>
      </w:r>
    </w:p>
    <w:p>
      <w:pPr>
        <w:pStyle w:val="BodyText"/>
        <w:ind w:left="558"/>
        <w:spacing w:before="144" w:line="221" w:lineRule="auto"/>
        <w:rPr/>
      </w:pPr>
      <w:r>
        <w:rPr>
          <w:rFonts w:ascii="Times New Roman" w:hAnsi="Times New Roman" w:eastAsia="Times New Roman" w:cs="Times New Roman"/>
          <w:spacing w:val="-2"/>
        </w:rPr>
        <w:t>2.</w:t>
      </w:r>
      <w:r>
        <w:rPr>
          <w:spacing w:val="-2"/>
        </w:rPr>
        <w:t>判断题；</w:t>
      </w:r>
    </w:p>
    <w:p>
      <w:pPr>
        <w:pStyle w:val="BodyText"/>
        <w:ind w:left="564"/>
        <w:spacing w:before="145" w:line="220" w:lineRule="auto"/>
        <w:rPr/>
      </w:pPr>
      <w:r>
        <w:rPr>
          <w:rFonts w:ascii="Times New Roman" w:hAnsi="Times New Roman" w:eastAsia="Times New Roman" w:cs="Times New Roman"/>
          <w:spacing w:val="-3"/>
        </w:rPr>
        <w:t>3.</w:t>
      </w:r>
      <w:r>
        <w:rPr>
          <w:spacing w:val="-3"/>
        </w:rPr>
        <w:t>简答题；</w:t>
      </w:r>
    </w:p>
    <w:p>
      <w:pPr>
        <w:pStyle w:val="BodyText"/>
        <w:ind w:left="557"/>
        <w:spacing w:before="146" w:line="223" w:lineRule="auto"/>
        <w:rPr/>
      </w:pPr>
      <w:r>
        <w:rPr>
          <w:rFonts w:ascii="Times New Roman" w:hAnsi="Times New Roman" w:eastAsia="Times New Roman" w:cs="Times New Roman"/>
          <w:spacing w:val="-1"/>
        </w:rPr>
        <w:t>4.</w:t>
      </w:r>
      <w:r>
        <w:rPr>
          <w:spacing w:val="-1"/>
        </w:rPr>
        <w:t>论述题；</w:t>
      </w:r>
    </w:p>
    <w:p>
      <w:pPr>
        <w:pStyle w:val="BodyText"/>
        <w:ind w:left="566"/>
        <w:spacing w:before="142" w:line="221" w:lineRule="auto"/>
        <w:rPr/>
      </w:pPr>
      <w:r>
        <w:rPr>
          <w:rFonts w:ascii="Times New Roman" w:hAnsi="Times New Roman" w:eastAsia="Times New Roman" w:cs="Times New Roman"/>
          <w:spacing w:val="-2"/>
        </w:rPr>
        <w:t>5.</w:t>
      </w:r>
      <w:r>
        <w:rPr>
          <w:spacing w:val="-2"/>
        </w:rPr>
        <w:t>教案写作。</w:t>
      </w:r>
    </w:p>
    <w:p>
      <w:pPr>
        <w:pStyle w:val="BodyText"/>
        <w:ind w:left="571"/>
        <w:spacing w:before="145" w:line="221" w:lineRule="auto"/>
        <w:outlineLvl w:val="1"/>
        <w:rPr/>
      </w:pPr>
      <w:r>
        <w:rPr>
          <w:b/>
          <w:bCs/>
          <w:spacing w:val="-5"/>
        </w:rPr>
        <w:t>（二）内容分值</w:t>
      </w:r>
    </w:p>
    <w:p>
      <w:pPr>
        <w:spacing w:line="221" w:lineRule="auto"/>
        <w:sectPr>
          <w:footerReference w:type="default" r:id="rId1"/>
          <w:pgSz w:w="12070" w:h="16950"/>
          <w:pgMar w:top="1440" w:right="1471" w:bottom="1744" w:left="1595" w:header="0" w:footer="1527" w:gutter="0"/>
        </w:sectPr>
        <w:rPr/>
      </w:pPr>
    </w:p>
    <w:p>
      <w:pPr>
        <w:spacing w:line="296" w:lineRule="auto"/>
        <w:rPr>
          <w:rFonts w:ascii="Arial"/>
          <w:sz w:val="21"/>
        </w:rPr>
      </w:pPr>
      <w:r/>
    </w:p>
    <w:p>
      <w:pPr>
        <w:spacing w:line="297" w:lineRule="auto"/>
        <w:rPr>
          <w:rFonts w:ascii="Arial"/>
          <w:sz w:val="21"/>
        </w:rPr>
      </w:pPr>
      <w:r/>
    </w:p>
    <w:p>
      <w:pPr>
        <w:pStyle w:val="BodyText"/>
        <w:ind w:left="582"/>
        <w:spacing w:before="91" w:line="221" w:lineRule="auto"/>
        <w:rPr/>
      </w:pPr>
      <w:r>
        <w:rPr>
          <w:rFonts w:ascii="Times New Roman" w:hAnsi="Times New Roman" w:eastAsia="Times New Roman" w:cs="Times New Roman"/>
          <w:spacing w:val="-6"/>
        </w:rPr>
        <w:t>1.</w:t>
      </w:r>
      <w:r>
        <w:rPr>
          <w:rFonts w:ascii="Times New Roman" w:hAnsi="Times New Roman" w:eastAsia="Times New Roman" w:cs="Times New Roman"/>
          <w:spacing w:val="-26"/>
        </w:rPr>
        <w:t xml:space="preserve"> </w:t>
      </w:r>
      <w:r>
        <w:rPr>
          <w:spacing w:val="-6"/>
        </w:rPr>
        <w:t>中国文化，</w:t>
      </w:r>
      <w:r>
        <w:rPr>
          <w:rFonts w:ascii="Times New Roman" w:hAnsi="Times New Roman" w:eastAsia="Times New Roman" w:cs="Times New Roman"/>
          <w:spacing w:val="-6"/>
        </w:rPr>
        <w:t>80 </w:t>
      </w:r>
      <w:r>
        <w:rPr>
          <w:spacing w:val="-6"/>
        </w:rPr>
        <w:t>分</w:t>
      </w:r>
    </w:p>
    <w:p>
      <w:pPr>
        <w:pStyle w:val="BodyText"/>
        <w:ind w:left="555"/>
        <w:spacing w:before="143" w:line="221" w:lineRule="auto"/>
        <w:rPr/>
      </w:pPr>
      <w:r>
        <w:rPr>
          <w:rFonts w:ascii="Times New Roman" w:hAnsi="Times New Roman" w:eastAsia="Times New Roman" w:cs="Times New Roman"/>
        </w:rPr>
        <w:t>2.</w:t>
      </w:r>
      <w:r>
        <w:rPr/>
        <w:t>对外汉语教学，</w:t>
      </w:r>
      <w:r>
        <w:rPr>
          <w:rFonts w:ascii="Times New Roman" w:hAnsi="Times New Roman" w:eastAsia="Times New Roman" w:cs="Times New Roman"/>
        </w:rPr>
        <w:t>70 </w:t>
      </w:r>
      <w:r>
        <w:rPr/>
        <w:t>分</w:t>
      </w:r>
    </w:p>
    <w:p>
      <w:pPr>
        <w:ind w:left="568"/>
        <w:spacing w:before="145" w:line="223" w:lineRule="auto"/>
        <w:rPr>
          <w:rFonts w:ascii="SimHei" w:hAnsi="SimHei" w:eastAsia="SimHei" w:cs="SimHei"/>
          <w:sz w:val="28"/>
          <w:szCs w:val="28"/>
        </w:rPr>
      </w:pPr>
      <w:r>
        <w:rPr>
          <w:rFonts w:ascii="SimHei" w:hAnsi="SimHei" w:eastAsia="SimHei" w:cs="SimHei"/>
          <w:sz w:val="28"/>
          <w:szCs w:val="28"/>
          <w:spacing w:val="-3"/>
        </w:rPr>
        <w:t>五、主要参考教材</w:t>
      </w:r>
    </w:p>
    <w:p>
      <w:pPr>
        <w:pStyle w:val="BodyText"/>
        <w:ind w:firstLine="582"/>
        <w:spacing w:before="141" w:line="269" w:lineRule="auto"/>
        <w:rPr/>
      </w:pPr>
      <w:r>
        <w:rPr>
          <w:rFonts w:ascii="Times New Roman" w:hAnsi="Times New Roman" w:eastAsia="Times New Roman" w:cs="Times New Roman"/>
          <w:spacing w:val="-5"/>
        </w:rPr>
        <w:t>1.</w:t>
      </w:r>
      <w:r>
        <w:rPr>
          <w:spacing w:val="-5"/>
        </w:rPr>
        <w:t>《对外汉语教学概论》（修订本</w:t>
      </w:r>
      <w:r>
        <w:rPr>
          <w:spacing w:val="-18"/>
        </w:rPr>
        <w:t>），</w:t>
      </w:r>
      <w:r>
        <w:rPr>
          <w:spacing w:val="-5"/>
        </w:rPr>
        <w:t>赵金铭主编，商务印书馆，</w:t>
      </w:r>
      <w:r>
        <w:rPr>
          <w:rFonts w:ascii="Times New Roman" w:hAnsi="Times New Roman" w:eastAsia="Times New Roman" w:cs="Times New Roman"/>
          <w:spacing w:val="-5"/>
        </w:rPr>
        <w:t>2019</w:t>
      </w:r>
      <w:r>
        <w:rPr>
          <w:rFonts w:ascii="Times New Roman" w:hAnsi="Times New Roman" w:eastAsia="Times New Roman" w:cs="Times New Roman"/>
          <w:spacing w:val="1"/>
        </w:rPr>
        <w:t xml:space="preserve"> </w:t>
      </w:r>
      <w:r>
        <w:rPr>
          <w:spacing w:val="-8"/>
        </w:rPr>
        <w:t>年</w:t>
      </w:r>
      <w:r>
        <w:rPr>
          <w:spacing w:val="-58"/>
        </w:rPr>
        <w:t xml:space="preserve"> </w:t>
      </w:r>
      <w:r>
        <w:rPr>
          <w:rFonts w:ascii="Times New Roman" w:hAnsi="Times New Roman" w:eastAsia="Times New Roman" w:cs="Times New Roman"/>
          <w:spacing w:val="-8"/>
        </w:rPr>
        <w:t>5</w:t>
      </w:r>
      <w:r>
        <w:rPr>
          <w:rFonts w:ascii="Times New Roman" w:hAnsi="Times New Roman" w:eastAsia="Times New Roman" w:cs="Times New Roman"/>
          <w:spacing w:val="18"/>
        </w:rPr>
        <w:t xml:space="preserve"> </w:t>
      </w:r>
      <w:r>
        <w:rPr>
          <w:spacing w:val="-8"/>
        </w:rPr>
        <w:t>月版；</w:t>
      </w:r>
    </w:p>
    <w:p>
      <w:pPr>
        <w:pStyle w:val="BodyText"/>
        <w:ind w:firstLine="555"/>
        <w:spacing w:before="1" w:line="319" w:lineRule="auto"/>
        <w:rPr/>
      </w:pPr>
      <w:r>
        <w:rPr>
          <w:rFonts w:ascii="Times New Roman" w:hAnsi="Times New Roman" w:eastAsia="Times New Roman" w:cs="Times New Roman"/>
          <w:spacing w:val="3"/>
        </w:rPr>
        <w:t>2.</w:t>
      </w:r>
      <w:r>
        <w:rPr>
          <w:spacing w:val="3"/>
        </w:rPr>
        <w:t>《对外汉语教育学引论》，</w:t>
      </w:r>
      <w:hyperlink w:history="true" r:id="rId3">
        <w:r>
          <w:rPr>
            <w:spacing w:val="3"/>
          </w:rPr>
          <w:t>刘珣</w:t>
        </w:r>
      </w:hyperlink>
      <w:r>
        <w:rPr>
          <w:spacing w:val="3"/>
        </w:rPr>
        <w:t>主编，北京语言大学出版社，</w:t>
      </w:r>
      <w:r>
        <w:rPr>
          <w:rFonts w:ascii="Times New Roman" w:hAnsi="Times New Roman" w:eastAsia="Times New Roman" w:cs="Times New Roman"/>
          <w:spacing w:val="3"/>
        </w:rPr>
        <w:t>2000</w:t>
      </w:r>
      <w:r>
        <w:rPr>
          <w:rFonts w:ascii="Times New Roman" w:hAnsi="Times New Roman" w:eastAsia="Times New Roman" w:cs="Times New Roman"/>
          <w:spacing w:val="13"/>
        </w:rPr>
        <w:t xml:space="preserve"> </w:t>
      </w:r>
      <w:r>
        <w:rPr>
          <w:spacing w:val="-12"/>
        </w:rPr>
        <w:t>年</w:t>
      </w:r>
      <w:r>
        <w:rPr>
          <w:spacing w:val="-38"/>
        </w:rPr>
        <w:t xml:space="preserve"> </w:t>
      </w:r>
      <w:r>
        <w:rPr>
          <w:rFonts w:ascii="Times New Roman" w:hAnsi="Times New Roman" w:eastAsia="Times New Roman" w:cs="Times New Roman"/>
          <w:spacing w:val="-12"/>
        </w:rPr>
        <w:t>1</w:t>
      </w:r>
      <w:r>
        <w:rPr>
          <w:rFonts w:ascii="Times New Roman" w:hAnsi="Times New Roman" w:eastAsia="Times New Roman" w:cs="Times New Roman"/>
          <w:spacing w:val="18"/>
        </w:rPr>
        <w:t xml:space="preserve"> </w:t>
      </w:r>
      <w:r>
        <w:rPr>
          <w:spacing w:val="-12"/>
        </w:rPr>
        <w:t>月版；</w:t>
      </w:r>
    </w:p>
    <w:p>
      <w:pPr>
        <w:pStyle w:val="BodyText"/>
        <w:ind w:right="1" w:firstLine="561"/>
        <w:spacing w:before="91" w:line="295" w:lineRule="auto"/>
        <w:rPr/>
      </w:pPr>
      <w:r>
        <w:rPr>
          <w:rFonts w:ascii="Times New Roman" w:hAnsi="Times New Roman" w:eastAsia="Times New Roman" w:cs="Times New Roman"/>
          <w:spacing w:val="-3"/>
        </w:rPr>
        <w:t>3.</w:t>
      </w:r>
      <w:r>
        <w:rPr>
          <w:spacing w:val="-3"/>
        </w:rPr>
        <w:t>《中国文化要略》</w:t>
      </w:r>
      <w:r>
        <w:rPr>
          <w:rFonts w:ascii="Times New Roman" w:hAnsi="Times New Roman" w:eastAsia="Times New Roman" w:cs="Times New Roman"/>
          <w:spacing w:val="-3"/>
        </w:rPr>
        <w:t>(</w:t>
      </w:r>
      <w:r>
        <w:rPr>
          <w:spacing w:val="-3"/>
        </w:rPr>
        <w:t>第四版</w:t>
      </w:r>
      <w:r>
        <w:rPr>
          <w:rFonts w:ascii="Times New Roman" w:hAnsi="Times New Roman" w:eastAsia="Times New Roman" w:cs="Times New Roman"/>
          <w:spacing w:val="-3"/>
        </w:rPr>
        <w:t>)</w:t>
      </w:r>
      <w:r>
        <w:rPr>
          <w:rFonts w:ascii="Times New Roman" w:hAnsi="Times New Roman" w:eastAsia="Times New Roman" w:cs="Times New Roman"/>
          <w:spacing w:val="-39"/>
        </w:rPr>
        <w:t xml:space="preserve"> </w:t>
      </w:r>
      <w:r>
        <w:rPr>
          <w:spacing w:val="-3"/>
        </w:rPr>
        <w:t>，程裕祯主</w:t>
      </w:r>
      <w:r>
        <w:rPr>
          <w:spacing w:val="-4"/>
        </w:rPr>
        <w:t>编，外语教学与研究出版社出</w:t>
      </w:r>
      <w:r>
        <w:rPr/>
        <w:t xml:space="preserve"> </w:t>
      </w:r>
      <w:r>
        <w:rPr>
          <w:spacing w:val="-3"/>
        </w:rPr>
        <w:t>版社，</w:t>
      </w:r>
      <w:r>
        <w:rPr>
          <w:rFonts w:ascii="Times New Roman" w:hAnsi="Times New Roman" w:eastAsia="Times New Roman" w:cs="Times New Roman"/>
          <w:spacing w:val="-3"/>
        </w:rPr>
        <w:t>2017 </w:t>
      </w:r>
      <w:r>
        <w:rPr>
          <w:spacing w:val="-3"/>
        </w:rPr>
        <w:t>年</w:t>
      </w:r>
      <w:r>
        <w:rPr>
          <w:spacing w:val="-58"/>
        </w:rPr>
        <w:t xml:space="preserve"> </w:t>
      </w:r>
      <w:r>
        <w:rPr>
          <w:rFonts w:ascii="Times New Roman" w:hAnsi="Times New Roman" w:eastAsia="Times New Roman" w:cs="Times New Roman"/>
          <w:spacing w:val="-3"/>
        </w:rPr>
        <w:t>7</w:t>
      </w:r>
      <w:r>
        <w:rPr>
          <w:rFonts w:ascii="Times New Roman" w:hAnsi="Times New Roman" w:eastAsia="Times New Roman" w:cs="Times New Roman"/>
          <w:spacing w:val="16"/>
        </w:rPr>
        <w:t xml:space="preserve"> </w:t>
      </w:r>
      <w:r>
        <w:rPr>
          <w:spacing w:val="-3"/>
        </w:rPr>
        <w:t>月版。</w:t>
      </w:r>
    </w:p>
    <w:sectPr>
      <w:footerReference w:type="default" r:id="rId2"/>
      <w:pgSz w:w="12070" w:h="16950"/>
      <w:pgMar w:top="1440" w:right="1472" w:bottom="1744" w:left="1598" w:header="0" w:footer="152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4"/>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7"/>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settings" Target="settings.xml"/><Relationship Id="rId3" Type="http://schemas.openxmlformats.org/officeDocument/2006/relationships/hyperlink" Target="https://book.jd.com/writer/%e5%88%98%e7%8f%a3_1.html" TargetMode="Externa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2024-09-25T10:09:03Z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2024-10-11T22:44:00</vt:filetime>
  </property>
</Properties>
</file>