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4A9A2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 w:cs="微软雅黑"/>
          <w:b/>
          <w:sz w:val="28"/>
          <w:szCs w:val="24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sz w:val="36"/>
          <w:szCs w:val="24"/>
        </w:rPr>
        <w:t>硕士研究生入学同等学</w:t>
      </w:r>
      <w:r>
        <w:rPr>
          <w:rFonts w:hint="eastAsia" w:ascii="微软雅黑" w:hAnsi="微软雅黑" w:eastAsia="微软雅黑" w:cs="微软雅黑"/>
          <w:b/>
          <w:sz w:val="36"/>
          <w:szCs w:val="24"/>
        </w:rPr>
        <w:t>力</w:t>
      </w:r>
      <w:r>
        <w:rPr>
          <w:rFonts w:ascii="微软雅黑" w:hAnsi="微软雅黑" w:eastAsia="微软雅黑" w:cs="微软雅黑"/>
          <w:b/>
          <w:sz w:val="36"/>
          <w:szCs w:val="24"/>
        </w:rPr>
        <w:t>加试自动控制原理考试大纲</w:t>
      </w:r>
    </w:p>
    <w:p w14:paraId="127DFCF6">
      <w:pPr>
        <w:spacing w:after="0" w:line="0" w:lineRule="atLeast"/>
        <w:ind w:left="0" w:right="0"/>
        <w:contextualSpacing/>
        <w:rPr>
          <w:rFonts w:ascii="微软雅黑" w:hAnsi="微软雅黑" w:eastAsia="微软雅黑" w:cs="微软雅黑"/>
          <w:sz w:val="24"/>
          <w:szCs w:val="24"/>
        </w:rPr>
      </w:pPr>
    </w:p>
    <w:p w14:paraId="7EAB08DA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微软雅黑"/>
          <w:b/>
          <w:sz w:val="32"/>
          <w:szCs w:val="24"/>
        </w:rPr>
        <w:t>考试内容</w:t>
      </w:r>
    </w:p>
    <w:p w14:paraId="595B7EA9">
      <w:pPr>
        <w:snapToGrid w:val="0"/>
        <w:spacing w:after="50"/>
        <w:ind w:left="0" w:right="0" w:firstLine="42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ascii="微软雅黑" w:hAnsi="微软雅黑" w:eastAsia="微软雅黑" w:cs="宋体"/>
          <w:sz w:val="24"/>
          <w:szCs w:val="24"/>
        </w:rPr>
        <w:t>（符号含义：●掌握，</w:t>
      </w:r>
      <w:r>
        <w:rPr>
          <w:rFonts w:ascii="微软雅黑" w:hAnsi="微软雅黑" w:eastAsia="微软雅黑"/>
          <w:sz w:val="24"/>
          <w:szCs w:val="24"/>
        </w:rPr>
        <w:t>◎</w:t>
      </w:r>
      <w:r>
        <w:rPr>
          <w:rFonts w:ascii="微软雅黑" w:hAnsi="微软雅黑" w:eastAsia="微软雅黑" w:cs="宋体"/>
          <w:sz w:val="24"/>
          <w:szCs w:val="24"/>
        </w:rPr>
        <w:t>理解，○了解。）</w:t>
      </w:r>
    </w:p>
    <w:p w14:paraId="2CBB4A28">
      <w:pPr>
        <w:snapToGrid w:val="0"/>
        <w:spacing w:after="50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sz w:val="24"/>
          <w:szCs w:val="24"/>
        </w:rPr>
        <w:t>1. 自动控制的一般概念</w:t>
      </w:r>
    </w:p>
    <w:p w14:paraId="11CFBB9E">
      <w:pPr>
        <w:snapToGrid w:val="0"/>
        <w:spacing w:after="5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sz w:val="24"/>
          <w:szCs w:val="24"/>
        </w:rPr>
        <w:t>概念</w:t>
      </w:r>
      <w:r>
        <w:rPr>
          <w:rFonts w:ascii="微软雅黑" w:hAnsi="微软雅黑" w:eastAsia="微软雅黑" w:cs="宋体"/>
          <w:bCs/>
          <w:sz w:val="24"/>
          <w:szCs w:val="24"/>
        </w:rPr>
        <w:t>：</w:t>
      </w:r>
    </w:p>
    <w:p w14:paraId="4C85B73D">
      <w:pPr>
        <w:snapToGrid w:val="0"/>
        <w:spacing w:after="50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●</w:t>
      </w:r>
      <w:r>
        <w:rPr>
          <w:rFonts w:ascii="微软雅黑" w:hAnsi="微软雅黑" w:eastAsia="微软雅黑" w:cs="宋体"/>
          <w:sz w:val="24"/>
          <w:szCs w:val="24"/>
        </w:rPr>
        <w:t>自动控制，控制器，被控对象，反馈，开环和闭环控制，自动控制系统的分类和基本要求</w:t>
      </w:r>
    </w:p>
    <w:p w14:paraId="16EEB4E4">
      <w:pPr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宋体"/>
          <w:b/>
          <w:sz w:val="24"/>
          <w:szCs w:val="24"/>
        </w:rPr>
        <w:t>方法及应用：</w:t>
      </w:r>
    </w:p>
    <w:p w14:paraId="01A1DB95">
      <w:pPr>
        <w:snapToGrid w:val="0"/>
        <w:spacing w:after="5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●</w:t>
      </w:r>
      <w:r>
        <w:rPr>
          <w:rFonts w:ascii="微软雅黑" w:hAnsi="微软雅黑" w:eastAsia="微软雅黑" w:cs="宋体"/>
          <w:sz w:val="24"/>
          <w:szCs w:val="24"/>
        </w:rPr>
        <w:t>根据控制系统工作原理绘制方块图</w:t>
      </w:r>
    </w:p>
    <w:p w14:paraId="610C5664">
      <w:pPr>
        <w:snapToGrid w:val="0"/>
        <w:spacing w:after="50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sz w:val="24"/>
          <w:szCs w:val="24"/>
        </w:rPr>
        <w:t>2</w:t>
      </w:r>
      <w:r>
        <w:rPr>
          <w:rFonts w:ascii="微软雅黑" w:hAnsi="微软雅黑" w:eastAsia="微软雅黑" w:cs="宋体"/>
          <w:b/>
          <w:sz w:val="24"/>
          <w:szCs w:val="24"/>
        </w:rPr>
        <w:t>．控制系统的数学模型</w:t>
      </w:r>
    </w:p>
    <w:p w14:paraId="4A32D668">
      <w:pPr>
        <w:snapToGrid w:val="0"/>
        <w:spacing w:after="5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sz w:val="24"/>
          <w:szCs w:val="24"/>
        </w:rPr>
        <w:t>概念</w:t>
      </w:r>
      <w:r>
        <w:rPr>
          <w:rFonts w:ascii="微软雅黑" w:hAnsi="微软雅黑" w:eastAsia="微软雅黑" w:cs="宋体"/>
          <w:bCs/>
          <w:sz w:val="24"/>
          <w:szCs w:val="24"/>
        </w:rPr>
        <w:t>：</w:t>
      </w:r>
    </w:p>
    <w:p w14:paraId="6A91CBC7">
      <w:pPr>
        <w:snapToGrid w:val="0"/>
        <w:spacing w:after="50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●</w:t>
      </w:r>
      <w:r>
        <w:rPr>
          <w:rFonts w:ascii="微软雅黑" w:hAnsi="微软雅黑" w:eastAsia="微软雅黑" w:cs="宋体"/>
          <w:sz w:val="24"/>
          <w:szCs w:val="24"/>
        </w:rPr>
        <w:t>时域与复数域数学模型，传递函数，结构图，信号流图</w:t>
      </w:r>
    </w:p>
    <w:p w14:paraId="6AC396C8">
      <w:pPr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宋体"/>
          <w:b/>
          <w:sz w:val="24"/>
          <w:szCs w:val="24"/>
        </w:rPr>
        <w:t>方法及应用：</w:t>
      </w:r>
    </w:p>
    <w:p w14:paraId="525B0957">
      <w:pPr>
        <w:snapToGrid w:val="0"/>
        <w:spacing w:after="5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●</w:t>
      </w:r>
      <w:r>
        <w:rPr>
          <w:rFonts w:ascii="微软雅黑" w:hAnsi="微软雅黑" w:eastAsia="微软雅黑" w:cs="宋体"/>
          <w:sz w:val="24"/>
          <w:szCs w:val="24"/>
        </w:rPr>
        <w:t>理论推导的方法建立控制系统的微分方程，典型元部件的传递函数的求取，结构图的绘制，由结构图等效变换求传递函数，由梅森增益公式求传递函数</w:t>
      </w:r>
    </w:p>
    <w:p w14:paraId="5D910E6A">
      <w:pPr>
        <w:snapToGrid w:val="0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sz w:val="24"/>
          <w:szCs w:val="24"/>
        </w:rPr>
        <w:t>3</w:t>
      </w:r>
      <w:r>
        <w:rPr>
          <w:rFonts w:ascii="微软雅黑" w:hAnsi="微软雅黑" w:eastAsia="微软雅黑" w:cs="宋体"/>
          <w:b/>
          <w:sz w:val="24"/>
          <w:szCs w:val="24"/>
        </w:rPr>
        <w:t>．线性系统的时域分析</w:t>
      </w:r>
    </w:p>
    <w:p w14:paraId="050FFE58">
      <w:pPr>
        <w:snapToGrid w:val="0"/>
        <w:spacing w:after="5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sz w:val="24"/>
          <w:szCs w:val="24"/>
        </w:rPr>
        <w:t>概念</w:t>
      </w:r>
      <w:r>
        <w:rPr>
          <w:rFonts w:ascii="微软雅黑" w:hAnsi="微软雅黑" w:eastAsia="微软雅黑" w:cs="宋体"/>
          <w:bCs/>
          <w:sz w:val="24"/>
          <w:szCs w:val="24"/>
        </w:rPr>
        <w:t>：</w:t>
      </w:r>
    </w:p>
    <w:p w14:paraId="4B4DF43B">
      <w:pPr>
        <w:snapToGrid w:val="0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●</w:t>
      </w:r>
      <w:r>
        <w:rPr>
          <w:rFonts w:ascii="微软雅黑" w:hAnsi="微软雅黑" w:eastAsia="微软雅黑" w:cs="宋体"/>
          <w:sz w:val="24"/>
          <w:szCs w:val="24"/>
        </w:rPr>
        <w:t>线性系统的性能指标，时域分析，系统的稳定性，稳态误差</w:t>
      </w:r>
    </w:p>
    <w:p w14:paraId="05B44BB0">
      <w:pPr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宋体"/>
          <w:b/>
          <w:sz w:val="24"/>
          <w:szCs w:val="24"/>
        </w:rPr>
        <w:t>方法及应用：</w:t>
      </w:r>
    </w:p>
    <w:p w14:paraId="276AC14E">
      <w:pPr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●</w:t>
      </w:r>
      <w:r>
        <w:rPr>
          <w:rFonts w:ascii="微软雅黑" w:hAnsi="微软雅黑" w:eastAsia="微软雅黑" w:cs="宋体"/>
          <w:sz w:val="24"/>
          <w:szCs w:val="24"/>
        </w:rPr>
        <w:t>掌握时域性能指标的定义，一、二阶系统的时域分析及性能指标的求取，劳思稳定判据及其应用，稳态误差的分析与计算</w:t>
      </w:r>
    </w:p>
    <w:p w14:paraId="55CAF8E4">
      <w:pPr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◎</w:t>
      </w:r>
      <w:r>
        <w:rPr>
          <w:rFonts w:ascii="微软雅黑" w:hAnsi="微软雅黑" w:eastAsia="微软雅黑" w:cs="宋体"/>
          <w:sz w:val="24"/>
          <w:szCs w:val="24"/>
        </w:rPr>
        <w:t>二阶系统性能改善的方法，减小或消除稳态误差的方法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 w14:paraId="0EA830CF">
      <w:pPr>
        <w:snapToGrid w:val="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○</w:t>
      </w:r>
      <w:r>
        <w:rPr>
          <w:rFonts w:ascii="微软雅黑" w:hAnsi="微软雅黑" w:eastAsia="微软雅黑" w:cs="宋体"/>
          <w:sz w:val="24"/>
          <w:szCs w:val="24"/>
        </w:rPr>
        <w:t>高阶系统的时域分析</w:t>
      </w:r>
    </w:p>
    <w:p w14:paraId="2CEF6F3A">
      <w:pPr>
        <w:snapToGrid w:val="0"/>
        <w:spacing w:after="50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sz w:val="24"/>
          <w:szCs w:val="24"/>
        </w:rPr>
        <w:t>4</w:t>
      </w:r>
      <w:r>
        <w:rPr>
          <w:rFonts w:ascii="微软雅黑" w:hAnsi="微软雅黑" w:eastAsia="微软雅黑" w:cs="宋体"/>
          <w:b/>
          <w:sz w:val="24"/>
          <w:szCs w:val="24"/>
        </w:rPr>
        <w:t>．线性系统的根轨迹法</w:t>
      </w:r>
    </w:p>
    <w:p w14:paraId="478F655F">
      <w:pPr>
        <w:snapToGrid w:val="0"/>
        <w:spacing w:after="5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sz w:val="24"/>
          <w:szCs w:val="24"/>
        </w:rPr>
        <w:t>概念</w:t>
      </w:r>
      <w:r>
        <w:rPr>
          <w:rFonts w:ascii="微软雅黑" w:hAnsi="微软雅黑" w:eastAsia="微软雅黑" w:cs="宋体"/>
          <w:bCs/>
          <w:sz w:val="24"/>
          <w:szCs w:val="24"/>
        </w:rPr>
        <w:t>：</w:t>
      </w:r>
    </w:p>
    <w:p w14:paraId="2ACF9AF1">
      <w:pPr>
        <w:snapToGrid w:val="0"/>
        <w:spacing w:after="50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●</w:t>
      </w:r>
      <w:r>
        <w:rPr>
          <w:rFonts w:ascii="微软雅黑" w:hAnsi="微软雅黑" w:eastAsia="微软雅黑" w:cs="宋体"/>
          <w:sz w:val="24"/>
          <w:szCs w:val="24"/>
        </w:rPr>
        <w:t>根轨迹，根轨迹方程</w:t>
      </w:r>
    </w:p>
    <w:p w14:paraId="55E81474">
      <w:pPr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宋体"/>
          <w:b/>
          <w:sz w:val="24"/>
          <w:szCs w:val="24"/>
        </w:rPr>
        <w:t>方法及应用：</w:t>
      </w:r>
    </w:p>
    <w:p w14:paraId="1DA431AF">
      <w:pPr>
        <w:snapToGrid w:val="0"/>
        <w:spacing w:after="5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●</w:t>
      </w:r>
      <w:r>
        <w:rPr>
          <w:rFonts w:ascii="微软雅黑" w:hAnsi="微软雅黑" w:eastAsia="微软雅黑" w:cs="宋体"/>
          <w:sz w:val="24"/>
          <w:szCs w:val="24"/>
        </w:rPr>
        <w:t>根轨迹绘制的基本法则，用根轨迹法分析系统，广义根轨迹的绘制与分析</w:t>
      </w:r>
    </w:p>
    <w:p w14:paraId="5AF056E4">
      <w:pPr>
        <w:snapToGrid w:val="0"/>
        <w:spacing w:after="50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sz w:val="24"/>
          <w:szCs w:val="24"/>
        </w:rPr>
        <w:t>5</w:t>
      </w:r>
      <w:r>
        <w:rPr>
          <w:rFonts w:ascii="微软雅黑" w:hAnsi="微软雅黑" w:eastAsia="微软雅黑" w:cs="宋体"/>
          <w:b/>
          <w:sz w:val="24"/>
          <w:szCs w:val="24"/>
        </w:rPr>
        <w:t>．线性系统的频域分析方法</w:t>
      </w:r>
    </w:p>
    <w:p w14:paraId="2F5D6BF3">
      <w:pPr>
        <w:snapToGrid w:val="0"/>
        <w:spacing w:after="5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sz w:val="24"/>
          <w:szCs w:val="24"/>
        </w:rPr>
        <w:t>概念</w:t>
      </w:r>
      <w:r>
        <w:rPr>
          <w:rFonts w:ascii="微软雅黑" w:hAnsi="微软雅黑" w:eastAsia="微软雅黑" w:cs="宋体"/>
          <w:bCs/>
          <w:sz w:val="24"/>
          <w:szCs w:val="24"/>
        </w:rPr>
        <w:t>：</w:t>
      </w:r>
    </w:p>
    <w:p w14:paraId="56BDE6C0">
      <w:pPr>
        <w:snapToGrid w:val="0"/>
        <w:spacing w:after="50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●</w:t>
      </w:r>
      <w:r>
        <w:rPr>
          <w:rFonts w:ascii="微软雅黑" w:hAnsi="微软雅黑" w:eastAsia="微软雅黑" w:cs="宋体"/>
          <w:sz w:val="24"/>
          <w:szCs w:val="24"/>
        </w:rPr>
        <w:t>频率特性，幅相曲线，对数频率特性曲线，稳定裕度，</w:t>
      </w:r>
      <w:r>
        <w:rPr>
          <w:rFonts w:ascii="微软雅黑" w:hAnsi="微软雅黑" w:eastAsia="微软雅黑" w:cs="Verdana"/>
          <w:sz w:val="24"/>
          <w:szCs w:val="24"/>
        </w:rPr>
        <w:t>三频段的概念</w:t>
      </w:r>
    </w:p>
    <w:p w14:paraId="20139277">
      <w:pPr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宋体"/>
          <w:b/>
          <w:sz w:val="24"/>
          <w:szCs w:val="24"/>
        </w:rPr>
        <w:t>方法及应用：</w:t>
      </w:r>
    </w:p>
    <w:p w14:paraId="67E4B64D">
      <w:pPr>
        <w:snapToGrid w:val="0"/>
        <w:spacing w:after="5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●</w:t>
      </w:r>
      <w:r>
        <w:rPr>
          <w:rFonts w:ascii="微软雅黑" w:hAnsi="微软雅黑" w:eastAsia="微软雅黑" w:cs="宋体"/>
          <w:sz w:val="24"/>
          <w:szCs w:val="24"/>
        </w:rPr>
        <w:t>开环系统典型环节的分解，开环幅相曲线和对数频率特性曲线的绘制，奈氏稳定判据及其应用，计算相角裕度和幅值裕度的方法，用频率特性估算系统动态特性的方法，</w:t>
      </w:r>
      <w:r>
        <w:rPr>
          <w:rFonts w:ascii="微软雅黑" w:hAnsi="微软雅黑" w:eastAsia="微软雅黑" w:cs="Tahoma"/>
          <w:sz w:val="24"/>
          <w:szCs w:val="24"/>
        </w:rPr>
        <w:t>闭环系统的频域性能指标</w:t>
      </w:r>
    </w:p>
    <w:p w14:paraId="4FBEED20">
      <w:pPr>
        <w:snapToGrid w:val="0"/>
        <w:spacing w:after="50"/>
      </w:pPr>
      <w:r>
        <w:rPr>
          <w:rFonts w:ascii="微软雅黑" w:hAnsi="微软雅黑" w:eastAsia="微软雅黑" w:cs="微软雅黑"/>
          <w:sz w:val="24"/>
          <w:szCs w:val="24"/>
        </w:rPr>
        <w:t>◎</w:t>
      </w:r>
      <w:r>
        <w:rPr>
          <w:rFonts w:ascii="微软雅黑" w:hAnsi="微软雅黑" w:eastAsia="微软雅黑" w:cs="宋体"/>
          <w:sz w:val="24"/>
          <w:szCs w:val="24"/>
        </w:rPr>
        <w:t>对数频率稳定判据，</w:t>
      </w:r>
      <w:r>
        <w:rPr>
          <w:rFonts w:ascii="微软雅黑" w:hAnsi="微软雅黑" w:eastAsia="微软雅黑" w:cs="Tahoma"/>
          <w:sz w:val="24"/>
          <w:szCs w:val="24"/>
        </w:rPr>
        <w:t>用频率特性建立系统的数学模型</w:t>
      </w:r>
    </w:p>
    <w:p w14:paraId="371FB41E">
      <w:pPr>
        <w:snapToGrid w:val="0"/>
        <w:spacing w:after="50"/>
        <w:rPr>
          <w:rFonts w:hint="eastAsia"/>
        </w:rPr>
      </w:pPr>
    </w:p>
    <w:p w14:paraId="669F5580">
      <w:pPr>
        <w:numPr>
          <w:ilvl w:val="0"/>
          <w:numId w:val="2"/>
        </w:numPr>
        <w:snapToGrid w:val="0"/>
        <w:spacing w:after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参阅：</w:t>
      </w:r>
    </w:p>
    <w:p w14:paraId="4CC9F60E">
      <w:pPr>
        <w:snapToGrid w:val="0"/>
        <w:spacing w:after="50"/>
        <w:ind w:left="84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</w:t>
      </w:r>
      <w:r>
        <w:rPr>
          <w:rFonts w:ascii="宋体" w:hAnsi="宋体"/>
          <w:sz w:val="28"/>
          <w:szCs w:val="28"/>
        </w:rPr>
        <w:t>自动控制原理</w:t>
      </w:r>
      <w:r>
        <w:rPr>
          <w:rFonts w:hint="eastAsia" w:ascii="宋体" w:hAnsi="宋体"/>
          <w:sz w:val="28"/>
          <w:szCs w:val="28"/>
        </w:rPr>
        <w:t>》</w:t>
      </w:r>
      <w:r>
        <w:rPr>
          <w:rFonts w:ascii="宋体" w:hAnsi="宋体"/>
          <w:sz w:val="28"/>
          <w:szCs w:val="28"/>
        </w:rPr>
        <w:t>胡寿松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科学出版社</w:t>
      </w:r>
      <w:r>
        <w:rPr>
          <w:rFonts w:hint="eastAsia" w:ascii="宋体" w:hAnsi="宋体"/>
          <w:sz w:val="28"/>
          <w:szCs w:val="28"/>
        </w:rPr>
        <w:t>2013</w:t>
      </w:r>
      <w:r>
        <w:rPr>
          <w:rFonts w:ascii="宋体" w:hAnsi="宋体"/>
          <w:sz w:val="28"/>
          <w:szCs w:val="28"/>
        </w:rPr>
        <w:t>年第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版</w:t>
      </w:r>
    </w:p>
    <w:p w14:paraId="557F46DF">
      <w:pPr>
        <w:snapToGrid w:val="0"/>
        <w:spacing w:after="50"/>
        <w:rPr>
          <w:rFonts w:hint="eastAsia"/>
        </w:rPr>
      </w:pPr>
    </w:p>
    <w:p w14:paraId="38AB8084">
      <w:pPr>
        <w:snapToGrid w:val="0"/>
        <w:spacing w:after="50"/>
      </w:pPr>
    </w:p>
    <w:sectPr>
      <w:pgSz w:w="11906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文泉驿正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ohit Hind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32AC1E19"/>
    <w:multiLevelType w:val="multilevel"/>
    <w:tmpl w:val="32AC1E19"/>
    <w:lvl w:ilvl="0" w:tentative="0">
      <w:start w:val="1"/>
      <w:numFmt w:val="bullet"/>
      <w:lvlText w:val=""/>
      <w:lvlJc w:val="left"/>
      <w:pPr>
        <w:tabs>
          <w:tab w:val="left" w:pos="843"/>
        </w:tabs>
        <w:ind w:left="84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3"/>
        </w:tabs>
        <w:ind w:left="126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3"/>
        </w:tabs>
        <w:ind w:left="168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3"/>
        </w:tabs>
        <w:ind w:left="210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3"/>
        </w:tabs>
        <w:ind w:left="252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3"/>
        </w:tabs>
        <w:ind w:left="294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3"/>
        </w:tabs>
        <w:ind w:left="336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3"/>
        </w:tabs>
        <w:ind w:left="378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3"/>
        </w:tabs>
        <w:ind w:left="4203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1C"/>
    <w:rsid w:val="00034004"/>
    <w:rsid w:val="00154E9F"/>
    <w:rsid w:val="001E326D"/>
    <w:rsid w:val="0034519A"/>
    <w:rsid w:val="003B4A2E"/>
    <w:rsid w:val="0063701C"/>
    <w:rsid w:val="00656B3A"/>
    <w:rsid w:val="00851799"/>
    <w:rsid w:val="00967D2A"/>
    <w:rsid w:val="00D25543"/>
    <w:rsid w:val="00D766BD"/>
    <w:rsid w:val="00E05C93"/>
    <w:rsid w:val="00E17A4C"/>
    <w:rsid w:val="319F3B29"/>
    <w:rsid w:val="67CC1E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5" w:line="264" w:lineRule="auto"/>
      <w:ind w:left="423" w:right="894"/>
    </w:pPr>
    <w:rPr>
      <w:color w:val="00000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numPr>
        <w:ilvl w:val="0"/>
        <w:numId w:val="1"/>
      </w:numPr>
      <w:suppressAutoHyphens/>
      <w:spacing w:after="215" w:line="254" w:lineRule="auto"/>
      <w:ind w:left="10" w:right="115" w:hanging="10"/>
      <w:jc w:val="center"/>
      <w:outlineLvl w:val="0"/>
    </w:pPr>
    <w:rPr>
      <w:color w:val="000000"/>
      <w:lang w:val="en-US" w:eastAsia="zh-CN" w:bidi="hi-I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single" w:color="000000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List"/>
    <w:basedOn w:val="4"/>
    <w:uiPriority w:val="0"/>
    <w:rPr>
      <w:rFonts w:cs="Lohit Hindi"/>
    </w:rPr>
  </w:style>
  <w:style w:type="paragraph" w:styleId="8">
    <w:name w:val="Title"/>
    <w:basedOn w:val="1"/>
    <w:next w:val="4"/>
    <w:qFormat/>
    <w:uiPriority w:val="0"/>
    <w:pPr>
      <w:keepNext/>
      <w:spacing w:before="240" w:after="120"/>
    </w:pPr>
    <w:rPr>
      <w:rFonts w:ascii="Arial" w:hAnsi="Arial" w:eastAsia="文泉驿正黑" w:cs="Lohit Hindi"/>
      <w:sz w:val="28"/>
      <w:szCs w:val="28"/>
    </w:rPr>
  </w:style>
  <w:style w:type="character" w:customStyle="1" w:styleId="11">
    <w:name w:val="WW8Num1z0"/>
    <w:uiPriority w:val="0"/>
  </w:style>
  <w:style w:type="character" w:customStyle="1" w:styleId="12">
    <w:name w:val="WW8Num1z1"/>
    <w:uiPriority w:val="0"/>
  </w:style>
  <w:style w:type="character" w:customStyle="1" w:styleId="13">
    <w:name w:val="WW8Num1z2"/>
    <w:uiPriority w:val="0"/>
  </w:style>
  <w:style w:type="character" w:customStyle="1" w:styleId="14">
    <w:name w:val="WW8Num1z3"/>
    <w:uiPriority w:val="0"/>
  </w:style>
  <w:style w:type="character" w:customStyle="1" w:styleId="15">
    <w:name w:val="WW8Num1z4"/>
    <w:uiPriority w:val="0"/>
  </w:style>
  <w:style w:type="character" w:customStyle="1" w:styleId="16">
    <w:name w:val="WW8Num1z5"/>
    <w:uiPriority w:val="0"/>
  </w:style>
  <w:style w:type="character" w:customStyle="1" w:styleId="17">
    <w:name w:val="WW8Num1z6"/>
    <w:uiPriority w:val="0"/>
  </w:style>
  <w:style w:type="character" w:customStyle="1" w:styleId="18">
    <w:name w:val="WW8Num1z7"/>
    <w:uiPriority w:val="0"/>
  </w:style>
  <w:style w:type="character" w:customStyle="1" w:styleId="19">
    <w:name w:val="WW8Num1z8"/>
    <w:uiPriority w:val="0"/>
  </w:style>
  <w:style w:type="character" w:customStyle="1" w:styleId="20">
    <w:name w:val="默认段落字体1"/>
    <w:uiPriority w:val="0"/>
  </w:style>
  <w:style w:type="character" w:customStyle="1" w:styleId="21">
    <w:name w:val="页眉 Char"/>
    <w:uiPriority w:val="0"/>
    <w:rPr>
      <w:color w:val="000000"/>
    </w:rPr>
  </w:style>
  <w:style w:type="character" w:customStyle="1" w:styleId="22">
    <w:name w:val="标题 1 Char"/>
    <w:uiPriority w:val="0"/>
    <w:rPr>
      <w:color w:val="000000"/>
    </w:rPr>
  </w:style>
  <w:style w:type="character" w:customStyle="1" w:styleId="23">
    <w:name w:val="样式1 Char"/>
    <w:uiPriority w:val="0"/>
    <w:rPr>
      <w:color w:val="000000"/>
    </w:rPr>
  </w:style>
  <w:style w:type="character" w:customStyle="1" w:styleId="24">
    <w:name w:val="页脚 Char"/>
    <w:uiPriority w:val="0"/>
    <w:rPr>
      <w:color w:val="000000"/>
    </w:rPr>
  </w:style>
  <w:style w:type="character" w:customStyle="1" w:styleId="25">
    <w:name w:val="Placeholder Text"/>
    <w:uiPriority w:val="0"/>
    <w:rPr>
      <w:color w:val="808080"/>
    </w:rPr>
  </w:style>
  <w:style w:type="paragraph" w:customStyle="1" w:styleId="26">
    <w:name w:val="目录"/>
    <w:basedOn w:val="1"/>
    <w:uiPriority w:val="0"/>
    <w:pPr>
      <w:suppressLineNumbers/>
    </w:pPr>
    <w:rPr>
      <w:rFonts w:cs="Lohit Hindi"/>
    </w:rPr>
  </w:style>
  <w:style w:type="paragraph" w:customStyle="1" w:styleId="27">
    <w:name w:val="样式1"/>
    <w:basedOn w:val="1"/>
    <w:uiPriority w:val="0"/>
    <w:pPr>
      <w:spacing w:before="0" w:after="0" w:line="0" w:lineRule="atLeast"/>
      <w:ind w:left="0" w:right="0" w:firstLine="0"/>
      <w:contextualSpacing/>
    </w:pPr>
    <w:rPr>
      <w:rFonts w:ascii="微软雅黑" w:hAnsi="微软雅黑" w:eastAsia="微软雅黑" w:cs="微软雅黑"/>
      <w:b/>
      <w:sz w:val="28"/>
      <w:szCs w:val="24"/>
    </w:rPr>
  </w:style>
  <w:style w:type="paragraph" w:customStyle="1" w:styleId="28">
    <w:name w:val="List Paragraph"/>
    <w:basedOn w:val="1"/>
    <w:uiPriority w:val="0"/>
    <w:pPr>
      <w:ind w:left="423" w:right="894"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2015-09-02T08:26:00Z</dcterms:created>
  <dc:creator>wangdan</dc:creator>
  <cp:lastModifiedBy>vertesyuan</cp:lastModifiedBy>
  <dcterms:modified xsi:type="dcterms:W3CDTF">2024-10-10T06:24:25Z</dcterms:modified>
  <dc:title>2014年数学考研大纲(数学一)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1F88B65707E04E89921D5865CDDA31FA_13</vt:lpwstr>
  </property>
</Properties>
</file>