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AB6E5">
      <w:pPr>
        <w:spacing w:line="240" w:lineRule="atLeast"/>
        <w:jc w:val="center"/>
        <w:outlineLvl w:val="0"/>
        <w:rPr>
          <w:rFonts w:hint="eastAsia"/>
          <w:b/>
          <w:bCs/>
          <w:sz w:val="44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drawing>
          <wp:inline distT="0" distB="0" distL="114300" distR="114300">
            <wp:extent cx="797560" cy="664845"/>
            <wp:effectExtent l="0" t="0" r="2540" b="1905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44"/>
        </w:rPr>
        <w:t>浙 江 理 工 大 学</w:t>
      </w:r>
    </w:p>
    <w:p w14:paraId="2783E04F">
      <w:pPr>
        <w:spacing w:line="500" w:lineRule="exact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202</w:t>
      </w:r>
      <w:r>
        <w:rPr>
          <w:rFonts w:hint="eastAsia"/>
          <w:b/>
          <w:bCs/>
          <w:sz w:val="28"/>
          <w:lang w:val="en-US" w:eastAsia="zh-CN"/>
        </w:rPr>
        <w:t>5</w:t>
      </w:r>
      <w:r>
        <w:rPr>
          <w:rFonts w:hint="eastAsia"/>
          <w:b/>
          <w:bCs/>
          <w:sz w:val="28"/>
        </w:rPr>
        <w:t>年硕士学位研究生招生考试业务课考试大纲</w:t>
      </w:r>
    </w:p>
    <w:p w14:paraId="44DE60A1">
      <w:pPr>
        <w:spacing w:line="500" w:lineRule="exact"/>
        <w:ind w:firstLine="1120" w:firstLineChars="400"/>
        <w:rPr>
          <w:rFonts w:hint="eastAsia" w:ascii="宋体" w:hAnsi="宋体"/>
          <w:bCs/>
          <w:szCs w:val="21"/>
        </w:rPr>
      </w:pP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</w:rPr>
        <w:t xml:space="preserve">考试科目：金融学综合                      代码： </w:t>
      </w:r>
      <w:r>
        <w:rPr>
          <w:b/>
          <w:bCs/>
          <w:sz w:val="28"/>
          <w:u w:val="single"/>
        </w:rPr>
        <w:t>431</w:t>
      </w:r>
      <w:r>
        <w:rPr>
          <w:rFonts w:hint="eastAsia"/>
          <w:b/>
          <w:bCs/>
          <w:sz w:val="28"/>
          <w:u w:val="single"/>
        </w:rPr>
        <w:t xml:space="preserve">  </w:t>
      </w:r>
    </w:p>
    <w:p w14:paraId="76D403D3">
      <w:pPr>
        <w:ind w:left="708" w:leftChars="337" w:firstLine="1"/>
        <w:rPr>
          <w:szCs w:val="21"/>
        </w:rPr>
      </w:pPr>
    </w:p>
    <w:p w14:paraId="37CA15E5">
      <w:pPr>
        <w:numPr>
          <w:ilvl w:val="0"/>
          <w:numId w:val="1"/>
        </w:numPr>
        <w:rPr>
          <w:szCs w:val="21"/>
        </w:rPr>
      </w:pPr>
      <w:r>
        <w:rPr>
          <w:b/>
          <w:bCs/>
          <w:szCs w:val="21"/>
        </w:rPr>
        <w:t>考试性质</w:t>
      </w:r>
    </w:p>
    <w:p w14:paraId="56F8375B">
      <w:pPr>
        <w:ind w:left="709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《金融学综合》是金融硕士（MF）专业学位研究生入学统一考试的科目之一。《金融学综合》考试要力求反映金融硕士专业学位的特点，科学、公平、准确、规范地测评考生的基本素质和综合能力，选拔具有发展潜力的优秀人才入学，为国家的经济建设培养具有良好职业道德、具有较强分析与解决实际问题能力的高层次、应用型、复合型的金融专业人才。</w:t>
      </w:r>
    </w:p>
    <w:p w14:paraId="6C43972A">
      <w:pPr>
        <w:numPr>
          <w:ilvl w:val="0"/>
          <w:numId w:val="1"/>
        </w:numPr>
        <w:rPr>
          <w:szCs w:val="21"/>
        </w:rPr>
      </w:pPr>
      <w:r>
        <w:rPr>
          <w:b/>
          <w:bCs/>
          <w:szCs w:val="21"/>
        </w:rPr>
        <w:t>考试要求</w:t>
      </w:r>
    </w:p>
    <w:p w14:paraId="226D0EAD">
      <w:pPr>
        <w:ind w:left="709" w:firstLine="420" w:firstLineChars="200"/>
        <w:rPr>
          <w:szCs w:val="21"/>
        </w:rPr>
      </w:pPr>
      <w:r>
        <w:rPr>
          <w:szCs w:val="21"/>
        </w:rPr>
        <w:t>测试考生对于金融学和公司</w:t>
      </w:r>
      <w:r>
        <w:rPr>
          <w:rFonts w:hint="eastAsia"/>
          <w:szCs w:val="21"/>
        </w:rPr>
        <w:t>财务</w:t>
      </w:r>
      <w:r>
        <w:rPr>
          <w:szCs w:val="21"/>
        </w:rPr>
        <w:t>相关的基本概念、基础理论的掌握和运用能力。</w:t>
      </w:r>
    </w:p>
    <w:p w14:paraId="78263B33">
      <w:pPr>
        <w:ind w:left="709"/>
      </w:pPr>
      <w:r>
        <w:rPr>
          <w:b/>
          <w:bCs/>
          <w:szCs w:val="21"/>
        </w:rPr>
        <w:t>三、考试内容</w:t>
      </w:r>
      <w:r>
        <w:rPr>
          <w:szCs w:val="21"/>
        </w:rPr>
        <w:br w:type="textWrapping"/>
      </w:r>
      <w:r>
        <w:rPr>
          <w:szCs w:val="21"/>
        </w:rPr>
        <w:t>第一部分  金融学</w:t>
      </w:r>
      <w:r>
        <w:rPr>
          <w:szCs w:val="21"/>
        </w:rPr>
        <w:br w:type="textWrapping"/>
      </w:r>
      <w:r>
        <w:rPr>
          <w:szCs w:val="21"/>
        </w:rPr>
        <w:t>一、货币与货币制度</w:t>
      </w:r>
      <w:r>
        <w:rPr>
          <w:szCs w:val="21"/>
        </w:rPr>
        <w:br w:type="textWrapping"/>
      </w:r>
      <w:r>
        <w:rPr>
          <w:szCs w:val="21"/>
        </w:rPr>
        <w:t>●  货币的职能与货币制度</w:t>
      </w:r>
      <w:r>
        <w:rPr>
          <w:szCs w:val="21"/>
        </w:rPr>
        <w:br w:type="textWrapping"/>
      </w:r>
      <w:r>
        <w:rPr>
          <w:szCs w:val="21"/>
        </w:rPr>
        <w:t>●  国际货币体系</w:t>
      </w:r>
      <w:r>
        <w:rPr>
          <w:szCs w:val="21"/>
        </w:rPr>
        <w:br w:type="textWrapping"/>
      </w:r>
      <w:r>
        <w:rPr>
          <w:szCs w:val="21"/>
        </w:rPr>
        <w:t>二、利息和利率</w:t>
      </w:r>
      <w:r>
        <w:rPr>
          <w:szCs w:val="21"/>
        </w:rPr>
        <w:br w:type="textWrapping"/>
      </w:r>
      <w:r>
        <w:rPr>
          <w:szCs w:val="21"/>
        </w:rPr>
        <w:t>●  利息</w:t>
      </w:r>
      <w:r>
        <w:rPr>
          <w:szCs w:val="21"/>
        </w:rPr>
        <w:br w:type="textWrapping"/>
      </w:r>
      <w:r>
        <w:rPr>
          <w:szCs w:val="21"/>
        </w:rPr>
        <w:t>●  利率决定理论</w:t>
      </w:r>
      <w:r>
        <w:rPr>
          <w:szCs w:val="21"/>
        </w:rPr>
        <w:br w:type="textWrapping"/>
      </w:r>
      <w:r>
        <w:rPr>
          <w:szCs w:val="21"/>
        </w:rPr>
        <w:t>●  利率的期限结构　</w:t>
      </w:r>
      <w:r>
        <w:rPr>
          <w:szCs w:val="21"/>
        </w:rPr>
        <w:br w:type="textWrapping"/>
      </w:r>
      <w:r>
        <w:rPr>
          <w:szCs w:val="21"/>
        </w:rPr>
        <w:t>三、外汇与汇率</w:t>
      </w:r>
      <w:r>
        <w:rPr>
          <w:szCs w:val="21"/>
        </w:rPr>
        <w:br w:type="textWrapping"/>
      </w:r>
      <w:r>
        <w:rPr>
          <w:szCs w:val="21"/>
        </w:rPr>
        <w:t>●  外汇</w:t>
      </w:r>
      <w:r>
        <w:rPr>
          <w:szCs w:val="21"/>
        </w:rPr>
        <w:br w:type="textWrapping"/>
      </w:r>
      <w:r>
        <w:rPr>
          <w:szCs w:val="21"/>
        </w:rPr>
        <w:t>●  汇率与汇率制度</w:t>
      </w:r>
      <w:r>
        <w:rPr>
          <w:szCs w:val="21"/>
        </w:rPr>
        <w:br w:type="textWrapping"/>
      </w:r>
      <w:r>
        <w:rPr>
          <w:szCs w:val="21"/>
        </w:rPr>
        <w:t>●  币值、利率与汇率</w:t>
      </w:r>
      <w:r>
        <w:rPr>
          <w:szCs w:val="21"/>
        </w:rPr>
        <w:br w:type="textWrapping"/>
      </w:r>
      <w:r>
        <w:rPr>
          <w:szCs w:val="21"/>
        </w:rPr>
        <w:t>●  汇率决定理论</w:t>
      </w:r>
      <w:r>
        <w:rPr>
          <w:szCs w:val="21"/>
        </w:rPr>
        <w:br w:type="textWrapping"/>
      </w:r>
      <w:r>
        <w:rPr>
          <w:szCs w:val="21"/>
        </w:rPr>
        <w:t>四、金融市场与机构</w:t>
      </w:r>
      <w:r>
        <w:rPr>
          <w:szCs w:val="21"/>
        </w:rPr>
        <w:br w:type="textWrapping"/>
      </w:r>
      <w:r>
        <w:rPr>
          <w:szCs w:val="21"/>
        </w:rPr>
        <w:t>●  金融市场及其要素</w:t>
      </w:r>
      <w:r>
        <w:rPr>
          <w:szCs w:val="21"/>
        </w:rPr>
        <w:br w:type="textWrapping"/>
      </w:r>
      <w:r>
        <w:rPr>
          <w:szCs w:val="21"/>
        </w:rPr>
        <w:t>●  货币市场</w:t>
      </w:r>
      <w:r>
        <w:rPr>
          <w:szCs w:val="21"/>
        </w:rPr>
        <w:br w:type="textWrapping"/>
      </w:r>
      <w:r>
        <w:rPr>
          <w:szCs w:val="21"/>
        </w:rPr>
        <w:t>●  资本市场</w:t>
      </w:r>
      <w:r>
        <w:rPr>
          <w:szCs w:val="21"/>
        </w:rPr>
        <w:br w:type="textWrapping"/>
      </w:r>
      <w:r>
        <w:rPr>
          <w:szCs w:val="21"/>
        </w:rPr>
        <w:t>●  衍生工具市场</w:t>
      </w:r>
      <w:r>
        <w:rPr>
          <w:szCs w:val="21"/>
        </w:rPr>
        <w:br w:type="textWrapping"/>
      </w:r>
      <w:r>
        <w:rPr>
          <w:szCs w:val="21"/>
        </w:rPr>
        <w:t>●  金融机构（种类、功能）</w:t>
      </w:r>
      <w:r>
        <w:rPr>
          <w:szCs w:val="21"/>
        </w:rPr>
        <w:br w:type="textWrapping"/>
      </w:r>
      <w:r>
        <w:rPr>
          <w:szCs w:val="21"/>
        </w:rPr>
        <w:t>五、商业银行</w:t>
      </w:r>
      <w:r>
        <w:rPr>
          <w:szCs w:val="21"/>
        </w:rPr>
        <w:br w:type="textWrapping"/>
      </w:r>
      <w:r>
        <w:rPr>
          <w:szCs w:val="21"/>
        </w:rPr>
        <w:t>●  商业银行的负债业务</w:t>
      </w:r>
      <w:r>
        <w:rPr>
          <w:szCs w:val="21"/>
        </w:rPr>
        <w:br w:type="textWrapping"/>
      </w:r>
      <w:r>
        <w:rPr>
          <w:szCs w:val="21"/>
        </w:rPr>
        <w:t>●  商业银行的资产业务</w:t>
      </w:r>
      <w:r>
        <w:rPr>
          <w:szCs w:val="21"/>
        </w:rPr>
        <w:br w:type="textWrapping"/>
      </w:r>
      <w:r>
        <w:rPr>
          <w:szCs w:val="21"/>
        </w:rPr>
        <w:t>●  商业银行的中间业务和表外业务</w:t>
      </w:r>
      <w:r>
        <w:rPr>
          <w:szCs w:val="21"/>
        </w:rPr>
        <w:br w:type="textWrapping"/>
      </w:r>
      <w:r>
        <w:rPr>
          <w:szCs w:val="21"/>
        </w:rPr>
        <w:t>●  商业银行的风险特征</w:t>
      </w:r>
      <w:r>
        <w:rPr>
          <w:szCs w:val="21"/>
        </w:rPr>
        <w:br w:type="textWrapping"/>
      </w:r>
      <w:r>
        <w:rPr>
          <w:szCs w:val="21"/>
        </w:rPr>
        <w:t>六、现代货币创造机制</w:t>
      </w:r>
      <w:r>
        <w:rPr>
          <w:szCs w:val="21"/>
        </w:rPr>
        <w:br w:type="textWrapping"/>
      </w:r>
      <w:r>
        <w:rPr>
          <w:szCs w:val="21"/>
        </w:rPr>
        <w:t>●  存款货币的创造机制</w:t>
      </w:r>
      <w:r>
        <w:rPr>
          <w:szCs w:val="21"/>
        </w:rPr>
        <w:br w:type="textWrapping"/>
      </w:r>
      <w:r>
        <w:rPr>
          <w:szCs w:val="21"/>
        </w:rPr>
        <w:t>●  中央银行职能</w:t>
      </w:r>
      <w:r>
        <w:rPr>
          <w:szCs w:val="21"/>
        </w:rPr>
        <w:br w:type="textWrapping"/>
      </w:r>
      <w:r>
        <w:rPr>
          <w:szCs w:val="21"/>
        </w:rPr>
        <w:t>●  中央银行体制下的货币创造过程</w:t>
      </w:r>
      <w:r>
        <w:rPr>
          <w:szCs w:val="21"/>
        </w:rPr>
        <w:br w:type="textWrapping"/>
      </w:r>
      <w:r>
        <w:rPr>
          <w:szCs w:val="21"/>
        </w:rPr>
        <w:t>七、货币供求与均衡</w:t>
      </w:r>
      <w:r>
        <w:rPr>
          <w:szCs w:val="21"/>
        </w:rPr>
        <w:br w:type="textWrapping"/>
      </w:r>
      <w:r>
        <w:rPr>
          <w:szCs w:val="21"/>
        </w:rPr>
        <w:t>●  货币需求理论</w:t>
      </w:r>
      <w:r>
        <w:rPr>
          <w:szCs w:val="21"/>
        </w:rPr>
        <w:br w:type="textWrapping"/>
      </w:r>
      <w:r>
        <w:rPr>
          <w:szCs w:val="21"/>
        </w:rPr>
        <w:t>●  货币供给</w:t>
      </w:r>
      <w:r>
        <w:rPr>
          <w:szCs w:val="21"/>
        </w:rPr>
        <w:br w:type="textWrapping"/>
      </w:r>
      <w:r>
        <w:rPr>
          <w:szCs w:val="21"/>
        </w:rPr>
        <w:t>●  货币均衡</w:t>
      </w:r>
      <w:r>
        <w:rPr>
          <w:szCs w:val="21"/>
        </w:rPr>
        <w:br w:type="textWrapping"/>
      </w:r>
      <w:r>
        <w:rPr>
          <w:szCs w:val="21"/>
        </w:rPr>
        <w:t>●  通货膨胀与通货紧缩</w:t>
      </w:r>
      <w:r>
        <w:rPr>
          <w:szCs w:val="21"/>
        </w:rPr>
        <w:br w:type="textWrapping"/>
      </w:r>
      <w:r>
        <w:rPr>
          <w:szCs w:val="21"/>
        </w:rPr>
        <w:t>八、货币政策</w:t>
      </w:r>
      <w:r>
        <w:rPr>
          <w:szCs w:val="21"/>
        </w:rPr>
        <w:br w:type="textWrapping"/>
      </w:r>
      <w:r>
        <w:rPr>
          <w:szCs w:val="21"/>
        </w:rPr>
        <w:t>●  货币政策及其目标</w:t>
      </w:r>
      <w:r>
        <w:rPr>
          <w:szCs w:val="21"/>
        </w:rPr>
        <w:br w:type="textWrapping"/>
      </w:r>
      <w:r>
        <w:rPr>
          <w:szCs w:val="21"/>
        </w:rPr>
        <w:t>●  货币政策工具</w:t>
      </w:r>
      <w:r>
        <w:rPr>
          <w:szCs w:val="21"/>
        </w:rPr>
        <w:br w:type="textWrapping"/>
      </w:r>
      <w:r>
        <w:rPr>
          <w:szCs w:val="21"/>
        </w:rPr>
        <w:t>●  货币政策的传导机制和中介指标</w:t>
      </w:r>
      <w:r>
        <w:rPr>
          <w:szCs w:val="21"/>
        </w:rPr>
        <w:br w:type="textWrapping"/>
      </w:r>
      <w:r>
        <w:rPr>
          <w:szCs w:val="21"/>
        </w:rPr>
        <w:t>九、国际收支与国际资本流动</w:t>
      </w:r>
      <w:r>
        <w:rPr>
          <w:szCs w:val="21"/>
        </w:rPr>
        <w:br w:type="textWrapping"/>
      </w:r>
      <w:r>
        <w:rPr>
          <w:szCs w:val="21"/>
        </w:rPr>
        <w:t>●  国际收支</w:t>
      </w:r>
      <w:r>
        <w:rPr>
          <w:szCs w:val="21"/>
        </w:rPr>
        <w:br w:type="textWrapping"/>
      </w:r>
      <w:r>
        <w:rPr>
          <w:szCs w:val="21"/>
        </w:rPr>
        <w:t>●  国际储备</w:t>
      </w:r>
      <w:r>
        <w:rPr>
          <w:szCs w:val="21"/>
        </w:rPr>
        <w:br w:type="textWrapping"/>
      </w:r>
      <w:r>
        <w:rPr>
          <w:szCs w:val="21"/>
        </w:rPr>
        <w:t>●  国际资本流动</w:t>
      </w:r>
      <w:r>
        <w:rPr>
          <w:szCs w:val="21"/>
        </w:rPr>
        <w:br w:type="textWrapping"/>
      </w:r>
      <w:r>
        <w:rPr>
          <w:szCs w:val="21"/>
        </w:rPr>
        <w:t>十、金融监管</w:t>
      </w:r>
      <w:r>
        <w:rPr>
          <w:szCs w:val="21"/>
        </w:rPr>
        <w:br w:type="textWrapping"/>
      </w:r>
      <w:r>
        <w:rPr>
          <w:szCs w:val="21"/>
        </w:rPr>
        <w:t>●  金融监管理论</w:t>
      </w:r>
      <w:r>
        <w:rPr>
          <w:szCs w:val="21"/>
        </w:rPr>
        <w:br w:type="textWrapping"/>
      </w:r>
      <w:r>
        <w:rPr>
          <w:szCs w:val="21"/>
        </w:rPr>
        <w:t>●  巴塞尔协议</w:t>
      </w:r>
      <w:r>
        <w:rPr>
          <w:szCs w:val="21"/>
        </w:rPr>
        <w:br w:type="textWrapping"/>
      </w:r>
      <w:r>
        <w:rPr>
          <w:szCs w:val="21"/>
        </w:rPr>
        <w:t>●  金融机构监管</w:t>
      </w:r>
      <w:r>
        <w:rPr>
          <w:szCs w:val="21"/>
        </w:rPr>
        <w:br w:type="textWrapping"/>
      </w:r>
      <w:r>
        <w:rPr>
          <w:szCs w:val="21"/>
        </w:rPr>
        <w:t>●  金融市场监管</w:t>
      </w:r>
      <w:r>
        <w:rPr>
          <w:szCs w:val="21"/>
        </w:rPr>
        <w:br w:type="textWrapping"/>
      </w:r>
      <w:r>
        <w:rPr>
          <w:szCs w:val="21"/>
        </w:rPr>
        <w:br w:type="textWrapping"/>
      </w:r>
      <w:r>
        <w:rPr>
          <w:szCs w:val="21"/>
        </w:rPr>
        <w:t>第二部分　公司财务</w:t>
      </w:r>
      <w:r>
        <w:rPr>
          <w:szCs w:val="21"/>
        </w:rPr>
        <w:br w:type="textWrapping"/>
      </w:r>
      <w:r>
        <w:rPr>
          <w:szCs w:val="21"/>
        </w:rPr>
        <w:t>一、公司财务概述</w:t>
      </w:r>
      <w:r>
        <w:rPr>
          <w:szCs w:val="21"/>
        </w:rPr>
        <w:br w:type="textWrapping"/>
      </w:r>
      <w:r>
        <w:rPr>
          <w:szCs w:val="21"/>
        </w:rPr>
        <w:t>●  什么是公司财务</w:t>
      </w:r>
      <w:r>
        <w:rPr>
          <w:szCs w:val="21"/>
        </w:rPr>
        <w:br w:type="textWrapping"/>
      </w:r>
      <w:r>
        <w:rPr>
          <w:szCs w:val="21"/>
        </w:rPr>
        <w:t>●  财务管理目标</w:t>
      </w:r>
      <w:r>
        <w:rPr>
          <w:szCs w:val="21"/>
        </w:rPr>
        <w:br w:type="textWrapping"/>
      </w:r>
      <w:r>
        <w:rPr>
          <w:szCs w:val="21"/>
        </w:rPr>
        <w:t>二、财务报表分析</w:t>
      </w:r>
      <w:r>
        <w:rPr>
          <w:szCs w:val="21"/>
        </w:rPr>
        <w:br w:type="textWrapping"/>
      </w:r>
      <w:r>
        <w:rPr>
          <w:szCs w:val="21"/>
        </w:rPr>
        <w:t>●  会计报表</w:t>
      </w:r>
      <w:r>
        <w:rPr>
          <w:szCs w:val="21"/>
        </w:rPr>
        <w:br w:type="textWrapping"/>
      </w:r>
      <w:r>
        <w:rPr>
          <w:szCs w:val="21"/>
        </w:rPr>
        <w:t>●  财务报表比率分析</w:t>
      </w:r>
      <w:r>
        <w:rPr>
          <w:szCs w:val="21"/>
        </w:rPr>
        <w:br w:type="textWrapping"/>
      </w:r>
      <w:r>
        <w:rPr>
          <w:szCs w:val="21"/>
        </w:rPr>
        <w:t>三、长期财务规划</w:t>
      </w:r>
      <w:r>
        <w:rPr>
          <w:szCs w:val="21"/>
        </w:rPr>
        <w:br w:type="textWrapping"/>
      </w:r>
      <w:r>
        <w:rPr>
          <w:szCs w:val="21"/>
        </w:rPr>
        <w:t>●  销售百分比法</w:t>
      </w:r>
      <w:r>
        <w:rPr>
          <w:szCs w:val="21"/>
        </w:rPr>
        <w:br w:type="textWrapping"/>
      </w:r>
      <w:r>
        <w:rPr>
          <w:szCs w:val="21"/>
        </w:rPr>
        <w:t>●  外部融资与增长</w:t>
      </w:r>
      <w:r>
        <w:rPr>
          <w:szCs w:val="21"/>
        </w:rPr>
        <w:br w:type="textWrapping"/>
      </w:r>
      <w:r>
        <w:rPr>
          <w:szCs w:val="21"/>
        </w:rPr>
        <w:t>四、折现与价值</w:t>
      </w:r>
      <w:r>
        <w:rPr>
          <w:szCs w:val="21"/>
        </w:rPr>
        <w:br w:type="textWrapping"/>
      </w:r>
      <w:r>
        <w:rPr>
          <w:szCs w:val="21"/>
        </w:rPr>
        <w:t>●  现金流与折现</w:t>
      </w:r>
      <w:r>
        <w:rPr>
          <w:szCs w:val="21"/>
        </w:rPr>
        <w:br w:type="textWrapping"/>
      </w:r>
      <w:r>
        <w:rPr>
          <w:szCs w:val="21"/>
        </w:rPr>
        <w:t>●  债券的估值</w:t>
      </w:r>
      <w:r>
        <w:rPr>
          <w:szCs w:val="21"/>
        </w:rPr>
        <w:br w:type="textWrapping"/>
      </w:r>
      <w:r>
        <w:rPr>
          <w:szCs w:val="21"/>
        </w:rPr>
        <w:t>●  股票的估值</w:t>
      </w:r>
      <w:r>
        <w:rPr>
          <w:szCs w:val="21"/>
        </w:rPr>
        <w:br w:type="textWrapping"/>
      </w:r>
      <w:r>
        <w:rPr>
          <w:szCs w:val="21"/>
        </w:rPr>
        <w:t>五、资本预算</w:t>
      </w:r>
      <w:r>
        <w:rPr>
          <w:szCs w:val="21"/>
        </w:rPr>
        <w:br w:type="textWrapping"/>
      </w:r>
      <w:r>
        <w:rPr>
          <w:szCs w:val="21"/>
        </w:rPr>
        <w:t>●  投资决策方法</w:t>
      </w:r>
      <w:r>
        <w:rPr>
          <w:szCs w:val="21"/>
        </w:rPr>
        <w:br w:type="textWrapping"/>
      </w:r>
      <w:r>
        <w:rPr>
          <w:szCs w:val="21"/>
        </w:rPr>
        <w:t>●  增量现金流</w:t>
      </w:r>
      <w:r>
        <w:rPr>
          <w:szCs w:val="21"/>
        </w:rPr>
        <w:br w:type="textWrapping"/>
      </w:r>
      <w:r>
        <w:rPr>
          <w:szCs w:val="21"/>
        </w:rPr>
        <w:t>●  净现值运用</w:t>
      </w:r>
      <w:r>
        <w:rPr>
          <w:szCs w:val="21"/>
        </w:rPr>
        <w:br w:type="textWrapping"/>
      </w:r>
      <w:r>
        <w:rPr>
          <w:szCs w:val="21"/>
        </w:rPr>
        <w:t>●  资本预算中的风险分析</w:t>
      </w:r>
      <w:r>
        <w:rPr>
          <w:szCs w:val="21"/>
        </w:rPr>
        <w:br w:type="textWrapping"/>
      </w:r>
      <w:r>
        <w:rPr>
          <w:szCs w:val="21"/>
        </w:rPr>
        <w:t>六、风险与收益</w:t>
      </w:r>
      <w:r>
        <w:rPr>
          <w:szCs w:val="21"/>
        </w:rPr>
        <w:br w:type="textWrapping"/>
      </w:r>
      <w:r>
        <w:rPr>
          <w:szCs w:val="21"/>
        </w:rPr>
        <w:t>●  风险与收益的度量</w:t>
      </w:r>
      <w:r>
        <w:rPr>
          <w:szCs w:val="21"/>
        </w:rPr>
        <w:br w:type="textWrapping"/>
      </w:r>
      <w:r>
        <w:rPr>
          <w:szCs w:val="21"/>
        </w:rPr>
        <w:t>●  均值方差模型</w:t>
      </w:r>
      <w:r>
        <w:rPr>
          <w:szCs w:val="21"/>
        </w:rPr>
        <w:br w:type="textWrapping"/>
      </w:r>
      <w:r>
        <w:rPr>
          <w:szCs w:val="21"/>
        </w:rPr>
        <w:t>●  资本资产定价模型</w:t>
      </w:r>
      <w:r>
        <w:rPr>
          <w:szCs w:val="21"/>
        </w:rPr>
        <w:br w:type="textWrapping"/>
      </w:r>
      <w:r>
        <w:rPr>
          <w:szCs w:val="21"/>
        </w:rPr>
        <w:t>●  无套利定价模型</w:t>
      </w:r>
      <w:r>
        <w:rPr>
          <w:szCs w:val="21"/>
        </w:rPr>
        <w:br w:type="textWrapping"/>
      </w:r>
      <w:r>
        <w:rPr>
          <w:szCs w:val="21"/>
        </w:rPr>
        <w:t>七、加权平均资本成本</w:t>
      </w:r>
      <w:r>
        <w:rPr>
          <w:szCs w:val="21"/>
        </w:rPr>
        <w:br w:type="textWrapping"/>
      </w:r>
      <w:r>
        <w:rPr>
          <w:szCs w:val="21"/>
        </w:rPr>
        <w:t>●  贝塔（b）的估计</w:t>
      </w:r>
      <w:r>
        <w:rPr>
          <w:szCs w:val="21"/>
        </w:rPr>
        <w:br w:type="textWrapping"/>
      </w:r>
      <w:r>
        <w:rPr>
          <w:szCs w:val="21"/>
        </w:rPr>
        <w:t>●  加权平均资本成本（WACC）</w:t>
      </w:r>
      <w:r>
        <w:rPr>
          <w:szCs w:val="21"/>
        </w:rPr>
        <w:br w:type="textWrapping"/>
      </w:r>
      <w:r>
        <w:rPr>
          <w:szCs w:val="21"/>
        </w:rPr>
        <w:t>八、有效市场假说</w:t>
      </w:r>
      <w:r>
        <w:rPr>
          <w:szCs w:val="21"/>
        </w:rPr>
        <w:br w:type="textWrapping"/>
      </w:r>
      <w:r>
        <w:rPr>
          <w:szCs w:val="21"/>
        </w:rPr>
        <w:t>●  有效资本市场的概念</w:t>
      </w:r>
      <w:r>
        <w:rPr>
          <w:szCs w:val="21"/>
        </w:rPr>
        <w:br w:type="textWrapping"/>
      </w:r>
      <w:r>
        <w:rPr>
          <w:szCs w:val="21"/>
        </w:rPr>
        <w:t>●  有效资本市场的形式</w:t>
      </w:r>
      <w:r>
        <w:rPr>
          <w:szCs w:val="21"/>
        </w:rPr>
        <w:br w:type="textWrapping"/>
      </w:r>
      <w:r>
        <w:rPr>
          <w:szCs w:val="21"/>
        </w:rPr>
        <w:t>●  有效市场与公司财务</w:t>
      </w:r>
      <w:r>
        <w:rPr>
          <w:szCs w:val="21"/>
        </w:rPr>
        <w:br w:type="textWrapping"/>
      </w:r>
      <w:r>
        <w:rPr>
          <w:szCs w:val="21"/>
        </w:rPr>
        <w:t>九、资本结构与公司价值</w:t>
      </w:r>
      <w:r>
        <w:rPr>
          <w:szCs w:val="21"/>
        </w:rPr>
        <w:br w:type="textWrapping"/>
      </w:r>
      <w:r>
        <w:rPr>
          <w:szCs w:val="21"/>
        </w:rPr>
        <w:t>●  债务融资与股权融资</w:t>
      </w:r>
      <w:r>
        <w:rPr>
          <w:szCs w:val="21"/>
        </w:rPr>
        <w:br w:type="textWrapping"/>
      </w:r>
      <w:r>
        <w:rPr>
          <w:szCs w:val="21"/>
        </w:rPr>
        <w:t>●  资本结构</w:t>
      </w:r>
      <w:r>
        <w:rPr>
          <w:szCs w:val="21"/>
        </w:rPr>
        <w:br w:type="textWrapping"/>
      </w:r>
      <w:r>
        <w:rPr>
          <w:szCs w:val="21"/>
        </w:rPr>
        <w:t>●  MM定理</w:t>
      </w:r>
      <w:r>
        <w:rPr>
          <w:szCs w:val="21"/>
        </w:rPr>
        <w:br w:type="textWrapping"/>
      </w:r>
      <w:r>
        <w:rPr>
          <w:szCs w:val="21"/>
        </w:rPr>
        <w:t>十、公司价值评估</w:t>
      </w:r>
      <w:r>
        <w:rPr>
          <w:szCs w:val="21"/>
        </w:rPr>
        <w:br w:type="textWrapping"/>
      </w:r>
      <w:r>
        <w:rPr>
          <w:szCs w:val="21"/>
        </w:rPr>
        <w:t>●  公司价值评估的主要方法</w:t>
      </w:r>
      <w:r>
        <w:rPr>
          <w:szCs w:val="21"/>
        </w:rPr>
        <w:br w:type="textWrapping"/>
      </w:r>
      <w:r>
        <w:rPr>
          <w:szCs w:val="21"/>
        </w:rPr>
        <w:t>●  三种方法的应用与比较</w:t>
      </w:r>
      <w:r>
        <w:rPr>
          <w:szCs w:val="21"/>
        </w:rPr>
        <w:br w:type="textWrapping"/>
      </w:r>
      <w:r>
        <w:rPr>
          <w:szCs w:val="21"/>
        </w:rPr>
        <w:br w:type="textWrapping"/>
      </w:r>
      <w:r>
        <w:rPr>
          <w:b/>
          <w:bCs/>
          <w:szCs w:val="21"/>
        </w:rPr>
        <w:t>四、</w:t>
      </w:r>
      <w:r>
        <w:rPr>
          <w:rFonts w:hint="eastAsia"/>
          <w:b/>
          <w:bCs/>
          <w:szCs w:val="21"/>
        </w:rPr>
        <w:t>试卷</w:t>
      </w:r>
      <w:r>
        <w:rPr>
          <w:b/>
          <w:bCs/>
          <w:szCs w:val="21"/>
        </w:rPr>
        <w:t>分值与</w:t>
      </w:r>
      <w:r>
        <w:rPr>
          <w:rFonts w:hint="eastAsia"/>
          <w:b/>
          <w:bCs/>
          <w:szCs w:val="21"/>
        </w:rPr>
        <w:t>题型</w:t>
      </w:r>
      <w:r>
        <w:rPr>
          <w:b/>
          <w:bCs/>
          <w:szCs w:val="21"/>
        </w:rPr>
        <w:br w:type="textWrapping"/>
      </w:r>
      <w:r>
        <w:rPr>
          <w:szCs w:val="21"/>
        </w:rPr>
        <w:t>本科目满分150分，其中，金融学部分为90分，公司财务部分为60分。</w:t>
      </w:r>
      <w:r>
        <w:rPr>
          <w:rFonts w:hint="eastAsia"/>
          <w:szCs w:val="21"/>
        </w:rPr>
        <w:t>名词解释：</w:t>
      </w:r>
      <w:r>
        <w:rPr>
          <w:szCs w:val="21"/>
        </w:rPr>
        <w:t>20%</w:t>
      </w:r>
      <w:r>
        <w:rPr>
          <w:rFonts w:hint="eastAsia"/>
          <w:szCs w:val="21"/>
        </w:rPr>
        <w:t>，问答题：</w:t>
      </w:r>
      <w:r>
        <w:rPr>
          <w:szCs w:val="21"/>
        </w:rPr>
        <w:t>60%</w:t>
      </w:r>
      <w:r>
        <w:rPr>
          <w:rFonts w:hint="eastAsia"/>
          <w:szCs w:val="21"/>
        </w:rPr>
        <w:t>，计算题：</w:t>
      </w:r>
      <w:r>
        <w:rPr>
          <w:szCs w:val="21"/>
        </w:rPr>
        <w:t>20%</w:t>
      </w:r>
      <w:r>
        <w:rPr>
          <w:rFonts w:hint="eastAsia"/>
          <w:szCs w:val="21"/>
        </w:rPr>
        <w:t>。</w:t>
      </w:r>
    </w:p>
    <w:p w14:paraId="211B5001">
      <w:pPr>
        <w:ind w:left="708" w:leftChars="337" w:firstLine="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五、参考书目</w:t>
      </w:r>
    </w:p>
    <w:p w14:paraId="2D9DFF31">
      <w:pPr>
        <w:adjustRightInd w:val="0"/>
        <w:ind w:left="422" w:leftChars="201" w:firstLine="283" w:firstLineChars="13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</w:t>
      </w:r>
      <w:r>
        <w:rPr>
          <w:rFonts w:ascii="宋体" w:hAnsi="宋体"/>
          <w:szCs w:val="21"/>
        </w:rPr>
        <w:t>弗雷德里克·S·米什金著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《货币金融学》</w:t>
      </w:r>
      <w:r>
        <w:rPr>
          <w:rFonts w:hint="eastAsia" w:ascii="宋体" w:hAnsi="宋体"/>
          <w:szCs w:val="21"/>
        </w:rPr>
        <w:t>（第十二版），中国人民大学出版社，2021。</w:t>
      </w:r>
    </w:p>
    <w:p w14:paraId="72900642">
      <w:pPr>
        <w:adjustRightInd w:val="0"/>
        <w:ind w:left="422" w:leftChars="201" w:firstLine="283" w:firstLineChars="13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</w:t>
      </w:r>
      <w:r>
        <w:rPr>
          <w:rFonts w:ascii="宋体" w:hAnsi="宋体"/>
          <w:szCs w:val="21"/>
        </w:rPr>
        <w:t>斯蒂芬A.罗斯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伦道夫W.威斯特菲尔德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杰弗利F.杰富著</w:t>
      </w:r>
      <w:r>
        <w:rPr>
          <w:rFonts w:hint="eastAsia" w:ascii="宋体" w:hAnsi="宋体"/>
          <w:szCs w:val="21"/>
        </w:rPr>
        <w:t>，《</w:t>
      </w:r>
      <w:r>
        <w:rPr>
          <w:rFonts w:ascii="宋体" w:hAnsi="宋体"/>
          <w:szCs w:val="21"/>
        </w:rPr>
        <w:t>公司理财</w:t>
      </w:r>
      <w:r>
        <w:rPr>
          <w:rFonts w:hint="eastAsia" w:ascii="宋体" w:hAnsi="宋体"/>
          <w:szCs w:val="21"/>
        </w:rPr>
        <w:t>》(第十一版)，</w:t>
      </w:r>
      <w:r>
        <w:rPr>
          <w:rFonts w:ascii="宋体" w:hAnsi="宋体"/>
          <w:szCs w:val="21"/>
        </w:rPr>
        <w:t>机械工业出版社</w:t>
      </w:r>
      <w:r>
        <w:rPr>
          <w:rFonts w:hint="eastAsia" w:ascii="宋体" w:hAnsi="宋体"/>
          <w:szCs w:val="21"/>
        </w:rPr>
        <w:t>，2017。</w:t>
      </w:r>
    </w:p>
    <w:p w14:paraId="23BB1935">
      <w:pPr>
        <w:ind w:left="708" w:leftChars="337" w:firstLine="1"/>
        <w:rPr>
          <w:rFonts w:hint="eastAsia"/>
          <w:b/>
          <w:bCs/>
          <w:szCs w:val="21"/>
        </w:rPr>
      </w:pPr>
    </w:p>
    <w:p w14:paraId="11CA7D6D">
      <w:pPr>
        <w:ind w:left="708" w:leftChars="337" w:firstLine="1"/>
        <w:rPr>
          <w:rFonts w:hint="eastAsia"/>
          <w:szCs w:val="21"/>
        </w:rPr>
      </w:pPr>
    </w:p>
    <w:p w14:paraId="0BDB3702">
      <w:pPr>
        <w:ind w:left="708" w:leftChars="337" w:firstLine="1"/>
        <w:rPr>
          <w:rFonts w:hint="eastAsia"/>
        </w:rPr>
      </w:pPr>
      <w:r>
        <w:rPr>
          <w:rFonts w:hint="eastAsia"/>
          <w:szCs w:val="21"/>
        </w:rPr>
        <w:t xml:space="preserve"> </w:t>
      </w:r>
    </w:p>
    <w:p w14:paraId="223EB08F">
      <w:pPr>
        <w:spacing w:line="500" w:lineRule="exact"/>
        <w:rPr>
          <w:rFonts w:ascii="宋体" w:hAnsi="宋体"/>
          <w:bCs/>
          <w:szCs w:val="21"/>
        </w:rPr>
      </w:pPr>
    </w:p>
    <w:p w14:paraId="7E1F830B">
      <w:pPr>
        <w:spacing w:line="500" w:lineRule="exact"/>
        <w:rPr>
          <w:rFonts w:ascii="宋体" w:hAnsi="宋体"/>
          <w:bCs/>
          <w:szCs w:val="21"/>
        </w:rPr>
      </w:pPr>
    </w:p>
    <w:p w14:paraId="3393023C">
      <w:pPr>
        <w:spacing w:line="500" w:lineRule="exact"/>
        <w:rPr>
          <w:rFonts w:ascii="宋体" w:hAnsi="宋体"/>
          <w:bCs/>
          <w:szCs w:val="21"/>
        </w:rPr>
      </w:pPr>
    </w:p>
    <w:p w14:paraId="2736EF5D">
      <w:pPr>
        <w:spacing w:line="500" w:lineRule="exact"/>
        <w:rPr>
          <w:rFonts w:ascii="宋体" w:hAnsi="宋体"/>
          <w:bCs/>
          <w:szCs w:val="21"/>
        </w:rPr>
      </w:pPr>
    </w:p>
    <w:p w14:paraId="15BFAD1E">
      <w:pPr>
        <w:spacing w:line="500" w:lineRule="exact"/>
        <w:rPr>
          <w:rFonts w:ascii="宋体" w:hAnsi="宋体"/>
          <w:b/>
          <w:bCs/>
          <w:sz w:val="24"/>
        </w:rPr>
        <w:sectPr>
          <w:footerReference r:id="rId3" w:type="default"/>
          <w:pgSz w:w="11907" w:h="16839"/>
          <w:pgMar w:top="737" w:right="851" w:bottom="737" w:left="851" w:header="851" w:footer="992" w:gutter="0"/>
          <w:cols w:space="720" w:num="1"/>
          <w:docGrid w:type="lines" w:linePitch="312" w:charSpace="0"/>
        </w:sectPr>
      </w:pPr>
    </w:p>
    <w:p w14:paraId="0ECF865C">
      <w:pPr>
        <w:spacing w:line="500" w:lineRule="exact"/>
        <w:rPr>
          <w:rFonts w:hint="eastAsia" w:ascii="宋体" w:hAnsi="宋体"/>
          <w:b/>
          <w:bCs/>
          <w:sz w:val="24"/>
        </w:rPr>
      </w:pPr>
    </w:p>
    <w:sectPr>
      <w:type w:val="continuous"/>
      <w:pgSz w:w="11907" w:h="16839"/>
      <w:pgMar w:top="737" w:right="851" w:bottom="737" w:left="851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B17C8">
    <w:pPr>
      <w:pStyle w:val="3"/>
      <w:jc w:val="center"/>
    </w:pPr>
    <w:r>
      <w:rPr>
        <w:rFonts w:hint="eastAsia"/>
      </w:rPr>
      <w:t>第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lang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rFonts w:hint="eastAsia"/>
        <w:lang w:val="zh-CN"/>
      </w:rPr>
      <w:t>页，共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lang/>
      </w:rPr>
      <w:t>1</w:t>
    </w:r>
    <w:r>
      <w:rPr>
        <w:b/>
        <w:sz w:val="24"/>
        <w:szCs w:val="24"/>
      </w:rPr>
      <w:fldChar w:fldCharType="end"/>
    </w:r>
    <w:r>
      <w:rPr>
        <w:rFonts w:hint="eastAsia"/>
        <w:b/>
        <w:sz w:val="24"/>
        <w:szCs w:val="24"/>
      </w:rPr>
      <w:t xml:space="preserve"> </w:t>
    </w:r>
    <w:r>
      <w:rPr>
        <w:rFonts w:hint="eastAsia"/>
        <w:lang w:val="zh-CN"/>
      </w:rPr>
      <w:t>页</w:t>
    </w:r>
  </w:p>
  <w:p w14:paraId="73CF06F3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77115F"/>
    <w:multiLevelType w:val="multilevel"/>
    <w:tmpl w:val="0777115F"/>
    <w:lvl w:ilvl="0" w:tentative="0">
      <w:start w:val="1"/>
      <w:numFmt w:val="japaneseCounting"/>
      <w:lvlText w:val="%1、"/>
      <w:lvlJc w:val="left"/>
      <w:pPr>
        <w:ind w:left="1144" w:hanging="435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549" w:hanging="420"/>
      </w:pPr>
    </w:lvl>
    <w:lvl w:ilvl="2" w:tentative="0">
      <w:start w:val="1"/>
      <w:numFmt w:val="lowerRoman"/>
      <w:lvlText w:val="%3."/>
      <w:lvlJc w:val="right"/>
      <w:pPr>
        <w:ind w:left="1969" w:hanging="420"/>
      </w:pPr>
    </w:lvl>
    <w:lvl w:ilvl="3" w:tentative="0">
      <w:start w:val="1"/>
      <w:numFmt w:val="decimal"/>
      <w:lvlText w:val="%4."/>
      <w:lvlJc w:val="left"/>
      <w:pPr>
        <w:ind w:left="2389" w:hanging="420"/>
      </w:pPr>
    </w:lvl>
    <w:lvl w:ilvl="4" w:tentative="0">
      <w:start w:val="1"/>
      <w:numFmt w:val="lowerLetter"/>
      <w:lvlText w:val="%5)"/>
      <w:lvlJc w:val="left"/>
      <w:pPr>
        <w:ind w:left="2809" w:hanging="420"/>
      </w:pPr>
    </w:lvl>
    <w:lvl w:ilvl="5" w:tentative="0">
      <w:start w:val="1"/>
      <w:numFmt w:val="lowerRoman"/>
      <w:lvlText w:val="%6."/>
      <w:lvlJc w:val="right"/>
      <w:pPr>
        <w:ind w:left="3229" w:hanging="420"/>
      </w:pPr>
    </w:lvl>
    <w:lvl w:ilvl="6" w:tentative="0">
      <w:start w:val="1"/>
      <w:numFmt w:val="decimal"/>
      <w:lvlText w:val="%7."/>
      <w:lvlJc w:val="left"/>
      <w:pPr>
        <w:ind w:left="3649" w:hanging="420"/>
      </w:pPr>
    </w:lvl>
    <w:lvl w:ilvl="7" w:tentative="0">
      <w:start w:val="1"/>
      <w:numFmt w:val="lowerLetter"/>
      <w:lvlText w:val="%8)"/>
      <w:lvlJc w:val="left"/>
      <w:pPr>
        <w:ind w:left="4069" w:hanging="420"/>
      </w:pPr>
    </w:lvl>
    <w:lvl w:ilvl="8" w:tentative="0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MzQ2MjI5OGNiNWQ4M2VlYTI4MzFkYWNlZDJjMzcifQ=="/>
  </w:docVars>
  <w:rsids>
    <w:rsidRoot w:val="00CF1274"/>
    <w:rsid w:val="000054BC"/>
    <w:rsid w:val="00020BEE"/>
    <w:rsid w:val="00050561"/>
    <w:rsid w:val="00054E39"/>
    <w:rsid w:val="00075D69"/>
    <w:rsid w:val="000B0BB4"/>
    <w:rsid w:val="000B0D43"/>
    <w:rsid w:val="000E3837"/>
    <w:rsid w:val="000F2FD8"/>
    <w:rsid w:val="0010323F"/>
    <w:rsid w:val="001427CA"/>
    <w:rsid w:val="00165A19"/>
    <w:rsid w:val="00170B3D"/>
    <w:rsid w:val="001932C7"/>
    <w:rsid w:val="001E2D32"/>
    <w:rsid w:val="002017A7"/>
    <w:rsid w:val="002045ED"/>
    <w:rsid w:val="002076FD"/>
    <w:rsid w:val="00260395"/>
    <w:rsid w:val="00294656"/>
    <w:rsid w:val="002A32C1"/>
    <w:rsid w:val="00367171"/>
    <w:rsid w:val="003F732C"/>
    <w:rsid w:val="004204A7"/>
    <w:rsid w:val="0045288F"/>
    <w:rsid w:val="00460BF0"/>
    <w:rsid w:val="00495AF9"/>
    <w:rsid w:val="00515F99"/>
    <w:rsid w:val="005879A8"/>
    <w:rsid w:val="00597C93"/>
    <w:rsid w:val="00597F47"/>
    <w:rsid w:val="00626A1D"/>
    <w:rsid w:val="006B6C63"/>
    <w:rsid w:val="006D1572"/>
    <w:rsid w:val="006D55F8"/>
    <w:rsid w:val="006F50BA"/>
    <w:rsid w:val="00755CA6"/>
    <w:rsid w:val="0081524A"/>
    <w:rsid w:val="00834D52"/>
    <w:rsid w:val="00861237"/>
    <w:rsid w:val="008A4D3C"/>
    <w:rsid w:val="008B4A54"/>
    <w:rsid w:val="009B1120"/>
    <w:rsid w:val="00A24204"/>
    <w:rsid w:val="00A6139C"/>
    <w:rsid w:val="00B25CBF"/>
    <w:rsid w:val="00CF1274"/>
    <w:rsid w:val="00D510D4"/>
    <w:rsid w:val="00DF498D"/>
    <w:rsid w:val="00F76141"/>
    <w:rsid w:val="00F819D5"/>
    <w:rsid w:val="00FC3C04"/>
    <w:rsid w:val="00FF2235"/>
    <w:rsid w:val="0FF95293"/>
    <w:rsid w:val="11D842B7"/>
    <w:rsid w:val="12763D43"/>
    <w:rsid w:val="1AE44DBB"/>
    <w:rsid w:val="1F4200A9"/>
    <w:rsid w:val="20621C90"/>
    <w:rsid w:val="29E87112"/>
    <w:rsid w:val="49DA2516"/>
    <w:rsid w:val="64AE1C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uiPriority w:val="99"/>
    <w:rPr>
      <w:kern w:val="2"/>
      <w:sz w:val="18"/>
      <w:szCs w:val="18"/>
    </w:r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  <w:style w:type="paragraph" w:customStyle="1" w:styleId="9">
    <w:name w:val="Default"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3</Pages>
  <Words>1106</Words>
  <Characters>1139</Characters>
  <Lines>10</Lines>
  <Paragraphs>2</Paragraphs>
  <TotalTime>0</TotalTime>
  <ScaleCrop>false</ScaleCrop>
  <LinksUpToDate>false</LinksUpToDate>
  <CharactersWithSpaces>1309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2023-05-22T11:27:00Z</dcterms:created>
  <dc:creator>Lenovo User</dc:creator>
  <cp:lastModifiedBy>vertesyuan</cp:lastModifiedBy>
  <cp:lastPrinted>2022-05-30T01:39:00Z</cp:lastPrinted>
  <dcterms:modified xsi:type="dcterms:W3CDTF">2024-10-11T01:52:00Z</dcterms:modified>
  <dc:title>浙江理工大学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5AADCE7BB259491AA5193148CA278A94_13</vt:lpwstr>
  </property>
</Properties>
</file>