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52"/>
        <w:spacing w:before="185" w:line="227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4"/>
        </w:rPr>
        <w:t>湖北大学理论经济学、金融学、数字经济硕士入学考试《经</w:t>
      </w:r>
    </w:p>
    <w:p>
      <w:pPr>
        <w:ind w:left="3382" w:right="3369" w:firstLine="15"/>
        <w:spacing w:before="5" w:line="37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30"/>
          <w:szCs w:val="30"/>
          <w:b/>
          <w:bCs/>
          <w:spacing w:val="10"/>
        </w:rPr>
        <w:t>济学》大纲</w:t>
      </w:r>
      <w:r>
        <w:rPr>
          <w:rFonts w:ascii="SimHei" w:hAnsi="SimHei" w:eastAsia="SimHei" w:cs="SimHei"/>
          <w:sz w:val="30"/>
          <w:szCs w:val="30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-21"/>
        </w:rPr>
        <w:t>（微观部分）</w:t>
      </w:r>
    </w:p>
    <w:p>
      <w:pPr>
        <w:pStyle w:val="BodyText"/>
        <w:ind w:left="67"/>
        <w:spacing w:before="28" w:line="219" w:lineRule="auto"/>
        <w:outlineLvl w:val="0"/>
        <w:rPr/>
      </w:pPr>
      <w:r>
        <w:rPr>
          <w:b/>
          <w:bCs/>
          <w:spacing w:val="-13"/>
        </w:rPr>
        <w:t>1</w:t>
      </w:r>
      <w:r>
        <w:rPr>
          <w:spacing w:val="34"/>
        </w:rPr>
        <w:t xml:space="preserve"> </w:t>
      </w:r>
      <w:r>
        <w:rPr>
          <w:b/>
          <w:bCs/>
          <w:spacing w:val="-13"/>
        </w:rPr>
        <w:t>西方经济学概论</w:t>
      </w:r>
    </w:p>
    <w:p>
      <w:pPr>
        <w:pStyle w:val="BodyText"/>
        <w:ind w:left="67"/>
        <w:spacing w:before="182" w:line="220" w:lineRule="auto"/>
        <w:rPr/>
      </w:pPr>
      <w:r>
        <w:rPr>
          <w:spacing w:val="-6"/>
        </w:rPr>
        <w:t>1.1</w:t>
      </w:r>
      <w:r>
        <w:rPr>
          <w:spacing w:val="-20"/>
        </w:rPr>
        <w:t xml:space="preserve"> </w:t>
      </w:r>
      <w:r>
        <w:rPr>
          <w:spacing w:val="-6"/>
        </w:rPr>
        <w:t>西方经济学说的历史与发展</w:t>
      </w:r>
    </w:p>
    <w:p>
      <w:pPr>
        <w:pStyle w:val="BodyText"/>
        <w:ind w:left="67"/>
        <w:spacing w:before="176" w:line="219" w:lineRule="auto"/>
        <w:rPr/>
      </w:pPr>
      <w:r>
        <w:rPr>
          <w:spacing w:val="-6"/>
        </w:rPr>
        <w:t>1.2</w:t>
      </w:r>
      <w:r>
        <w:rPr>
          <w:spacing w:val="-17"/>
        </w:rPr>
        <w:t xml:space="preserve"> </w:t>
      </w:r>
      <w:r>
        <w:rPr>
          <w:spacing w:val="-6"/>
        </w:rPr>
        <w:t>西方经济学的研究对象、方法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38"/>
        <w:spacing w:before="78" w:line="218" w:lineRule="auto"/>
        <w:outlineLvl w:val="0"/>
        <w:rPr/>
      </w:pPr>
      <w:r>
        <w:rPr>
          <w:b/>
          <w:bCs/>
          <w:spacing w:val="-6"/>
        </w:rPr>
        <w:t>2.需求、供给和均衡价格</w:t>
      </w:r>
    </w:p>
    <w:p>
      <w:pPr>
        <w:pStyle w:val="BodyText"/>
        <w:ind w:left="38"/>
        <w:spacing w:before="185" w:line="219" w:lineRule="auto"/>
        <w:rPr/>
      </w:pPr>
      <w:r>
        <w:rPr>
          <w:spacing w:val="-4"/>
        </w:rPr>
        <w:t>2.1</w:t>
      </w:r>
      <w:r>
        <w:rPr>
          <w:spacing w:val="-30"/>
        </w:rPr>
        <w:t xml:space="preserve"> </w:t>
      </w:r>
      <w:r>
        <w:rPr>
          <w:spacing w:val="-4"/>
        </w:rPr>
        <w:t>经济理论的基本假设条件</w:t>
      </w:r>
    </w:p>
    <w:p>
      <w:pPr>
        <w:pStyle w:val="BodyText"/>
        <w:ind w:left="38"/>
        <w:spacing w:before="184" w:line="219" w:lineRule="auto"/>
        <w:rPr/>
      </w:pPr>
      <w:r>
        <w:rPr>
          <w:spacing w:val="-7"/>
        </w:rPr>
        <w:t>2.2 需求函数与需求曲线</w:t>
      </w:r>
    </w:p>
    <w:p>
      <w:pPr>
        <w:pStyle w:val="BodyText"/>
        <w:ind w:left="38"/>
        <w:spacing w:before="180" w:line="219" w:lineRule="auto"/>
        <w:rPr/>
      </w:pPr>
      <w:r>
        <w:rPr>
          <w:spacing w:val="-4"/>
        </w:rPr>
        <w:t>2.3</w:t>
      </w:r>
      <w:r>
        <w:rPr>
          <w:spacing w:val="-35"/>
        </w:rPr>
        <w:t xml:space="preserve"> </w:t>
      </w:r>
      <w:r>
        <w:rPr>
          <w:spacing w:val="-4"/>
        </w:rPr>
        <w:t>供给函数与供给曲线</w:t>
      </w:r>
    </w:p>
    <w:p>
      <w:pPr>
        <w:pStyle w:val="BodyText"/>
        <w:ind w:left="38"/>
        <w:spacing w:before="183" w:line="219" w:lineRule="auto"/>
        <w:rPr/>
      </w:pPr>
      <w:r>
        <w:rPr>
          <w:spacing w:val="-4"/>
        </w:rPr>
        <w:t>2.4</w:t>
      </w:r>
      <w:r>
        <w:rPr>
          <w:spacing w:val="-35"/>
        </w:rPr>
        <w:t xml:space="preserve"> </w:t>
      </w:r>
      <w:r>
        <w:rPr>
          <w:spacing w:val="-4"/>
        </w:rPr>
        <w:t>供求曲线的共同作用</w:t>
      </w:r>
    </w:p>
    <w:p>
      <w:pPr>
        <w:pStyle w:val="BodyText"/>
        <w:ind w:left="38"/>
        <w:spacing w:before="183" w:line="219" w:lineRule="auto"/>
        <w:rPr/>
      </w:pPr>
      <w:r>
        <w:rPr>
          <w:spacing w:val="-5"/>
        </w:rPr>
        <w:t>2.5 需求弹性和供给弹性及其影响因素</w:t>
      </w:r>
    </w:p>
    <w:p>
      <w:pPr>
        <w:pStyle w:val="BodyText"/>
        <w:ind w:left="38"/>
        <w:spacing w:before="184" w:line="218" w:lineRule="auto"/>
        <w:rPr/>
      </w:pPr>
      <w:r>
        <w:rPr>
          <w:spacing w:val="-3"/>
        </w:rPr>
        <w:t>2.6 价格限制分析</w:t>
      </w:r>
    </w:p>
    <w:p>
      <w:pPr>
        <w:pStyle w:val="BodyText"/>
        <w:ind w:left="38"/>
        <w:spacing w:before="185" w:line="219" w:lineRule="auto"/>
        <w:rPr/>
      </w:pPr>
      <w:r>
        <w:rPr>
          <w:spacing w:val="-6"/>
        </w:rPr>
        <w:t>2.7</w:t>
      </w:r>
      <w:r>
        <w:rPr>
          <w:spacing w:val="-34"/>
        </w:rPr>
        <w:t xml:space="preserve"> </w:t>
      </w:r>
      <w:r>
        <w:rPr>
          <w:spacing w:val="-6"/>
        </w:rPr>
        <w:t>蛛网模型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40"/>
        <w:spacing w:before="79" w:line="220" w:lineRule="auto"/>
        <w:rPr/>
      </w:pPr>
      <w:r>
        <w:rPr>
          <w:b/>
          <w:bCs/>
          <w:spacing w:val="-13"/>
        </w:rPr>
        <w:t>3</w:t>
      </w:r>
      <w:r>
        <w:rPr>
          <w:spacing w:val="-34"/>
        </w:rPr>
        <w:t xml:space="preserve"> </w:t>
      </w:r>
      <w:r>
        <w:rPr>
          <w:b/>
          <w:bCs/>
          <w:spacing w:val="-13"/>
        </w:rPr>
        <w:t>效用论</w:t>
      </w:r>
    </w:p>
    <w:p>
      <w:pPr>
        <w:pStyle w:val="BodyText"/>
        <w:ind w:left="40"/>
        <w:spacing w:before="180" w:line="219" w:lineRule="auto"/>
        <w:rPr/>
      </w:pPr>
      <w:r>
        <w:rPr>
          <w:spacing w:val="-6"/>
        </w:rPr>
        <w:t>3.1</w:t>
      </w:r>
      <w:r>
        <w:rPr>
          <w:spacing w:val="-33"/>
        </w:rPr>
        <w:t xml:space="preserve"> </w:t>
      </w:r>
      <w:r>
        <w:rPr>
          <w:spacing w:val="-6"/>
        </w:rPr>
        <w:t>效用论概述</w:t>
      </w:r>
    </w:p>
    <w:p>
      <w:pPr>
        <w:pStyle w:val="BodyText"/>
        <w:ind w:left="40"/>
        <w:spacing w:before="183" w:line="219" w:lineRule="auto"/>
        <w:rPr/>
      </w:pPr>
      <w:r>
        <w:rPr>
          <w:spacing w:val="-5"/>
        </w:rPr>
        <w:t>3.2</w:t>
      </w:r>
      <w:r>
        <w:rPr>
          <w:spacing w:val="-42"/>
        </w:rPr>
        <w:t xml:space="preserve"> </w:t>
      </w:r>
      <w:r>
        <w:rPr>
          <w:spacing w:val="-5"/>
        </w:rPr>
        <w:t>无差异曲线</w:t>
      </w:r>
    </w:p>
    <w:p>
      <w:pPr>
        <w:pStyle w:val="BodyText"/>
        <w:ind w:left="40"/>
        <w:spacing w:before="183" w:line="220" w:lineRule="auto"/>
        <w:rPr/>
      </w:pPr>
      <w:r>
        <w:rPr>
          <w:spacing w:val="-6"/>
        </w:rPr>
        <w:t>3.3</w:t>
      </w:r>
      <w:r>
        <w:rPr>
          <w:spacing w:val="-33"/>
        </w:rPr>
        <w:t xml:space="preserve"> </w:t>
      </w:r>
      <w:r>
        <w:rPr>
          <w:spacing w:val="-6"/>
        </w:rPr>
        <w:t>消费者均衡</w:t>
      </w:r>
    </w:p>
    <w:p>
      <w:pPr>
        <w:pStyle w:val="BodyText"/>
        <w:ind w:left="40"/>
        <w:spacing w:before="179" w:line="218" w:lineRule="auto"/>
        <w:rPr/>
      </w:pPr>
      <w:r>
        <w:rPr>
          <w:spacing w:val="-4"/>
        </w:rPr>
        <w:t>3.4</w:t>
      </w:r>
      <w:r>
        <w:rPr>
          <w:spacing w:val="-25"/>
        </w:rPr>
        <w:t xml:space="preserve"> </w:t>
      </w:r>
      <w:r>
        <w:rPr>
          <w:spacing w:val="-4"/>
        </w:rPr>
        <w:t>价格变化和收入变化的影响</w:t>
      </w:r>
    </w:p>
    <w:p>
      <w:pPr>
        <w:pStyle w:val="BodyText"/>
        <w:ind w:left="40"/>
        <w:spacing w:before="186" w:line="219" w:lineRule="auto"/>
        <w:rPr/>
      </w:pPr>
      <w:r>
        <w:rPr>
          <w:spacing w:val="-7"/>
        </w:rPr>
        <w:t>3.5 替代效应和收入效应</w:t>
      </w:r>
    </w:p>
    <w:p>
      <w:pPr>
        <w:pStyle w:val="BodyText"/>
        <w:ind w:left="40"/>
        <w:spacing w:before="183" w:line="219" w:lineRule="auto"/>
        <w:rPr/>
      </w:pPr>
      <w:r>
        <w:rPr>
          <w:spacing w:val="-4"/>
        </w:rPr>
        <w:t>3.6</w:t>
      </w:r>
      <w:r>
        <w:rPr>
          <w:spacing w:val="-17"/>
        </w:rPr>
        <w:t xml:space="preserve"> </w:t>
      </w:r>
      <w:r>
        <w:rPr>
          <w:spacing w:val="-4"/>
        </w:rPr>
        <w:t>从单个需求曲线到市场需求曲线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79" w:line="219" w:lineRule="auto"/>
        <w:outlineLvl w:val="0"/>
        <w:rPr/>
      </w:pPr>
      <w:r>
        <w:rPr>
          <w:b/>
          <w:bCs/>
          <w:spacing w:val="-10"/>
        </w:rPr>
        <w:t>4</w:t>
      </w:r>
      <w:r>
        <w:rPr>
          <w:spacing w:val="18"/>
        </w:rPr>
        <w:t xml:space="preserve"> </w:t>
      </w:r>
      <w:r>
        <w:rPr>
          <w:b/>
          <w:bCs/>
          <w:spacing w:val="-10"/>
        </w:rPr>
        <w:t>生产论</w:t>
      </w:r>
    </w:p>
    <w:p>
      <w:pPr>
        <w:pStyle w:val="BodyText"/>
        <w:ind w:left="29"/>
        <w:spacing w:before="183" w:line="220" w:lineRule="auto"/>
        <w:rPr/>
      </w:pPr>
      <w:r>
        <w:rPr>
          <w:spacing w:val="-6"/>
        </w:rPr>
        <w:t>4.1</w:t>
      </w:r>
      <w:r>
        <w:rPr>
          <w:spacing w:val="23"/>
        </w:rPr>
        <w:t xml:space="preserve"> </w:t>
      </w:r>
      <w:r>
        <w:rPr>
          <w:spacing w:val="-6"/>
        </w:rPr>
        <w:t>厂商</w:t>
      </w:r>
    </w:p>
    <w:p>
      <w:pPr>
        <w:pStyle w:val="BodyText"/>
        <w:ind w:left="29"/>
        <w:spacing w:before="180" w:line="219" w:lineRule="auto"/>
        <w:rPr/>
      </w:pPr>
      <w:r>
        <w:rPr>
          <w:spacing w:val="-2"/>
        </w:rPr>
        <w:t>4.2 生产函数</w:t>
      </w:r>
    </w:p>
    <w:p>
      <w:pPr>
        <w:pStyle w:val="BodyText"/>
        <w:ind w:left="29"/>
        <w:spacing w:before="183" w:line="219" w:lineRule="auto"/>
        <w:rPr/>
      </w:pPr>
      <w:r>
        <w:rPr>
          <w:spacing w:val="-2"/>
        </w:rPr>
        <w:t>4.3 一种可变生产要素的生产函数</w:t>
      </w:r>
    </w:p>
    <w:p>
      <w:pPr>
        <w:pStyle w:val="BodyText"/>
        <w:ind w:left="29"/>
        <w:spacing w:before="183" w:line="219" w:lineRule="auto"/>
        <w:rPr/>
      </w:pPr>
      <w:r>
        <w:rPr>
          <w:spacing w:val="-2"/>
        </w:rPr>
        <w:t>4.4 两种可变生产要素的生产函数</w:t>
      </w:r>
    </w:p>
    <w:p>
      <w:pPr>
        <w:pStyle w:val="BodyText"/>
        <w:ind w:left="29"/>
        <w:spacing w:before="180" w:line="219" w:lineRule="auto"/>
        <w:rPr/>
      </w:pPr>
      <w:r>
        <w:rPr>
          <w:spacing w:val="-2"/>
        </w:rPr>
        <w:t>4.5 等成本线</w:t>
      </w:r>
    </w:p>
    <w:p>
      <w:pPr>
        <w:spacing w:line="219" w:lineRule="auto"/>
        <w:sectPr>
          <w:footerReference w:type="default" r:id="rId1"/>
          <w:pgSz w:w="11907" w:h="16840"/>
          <w:pgMar w:top="1431" w:right="1786" w:bottom="1138" w:left="1786" w:header="0" w:footer="975" w:gutter="0"/>
        </w:sectPr>
        <w:rPr/>
      </w:pPr>
    </w:p>
    <w:p>
      <w:pPr>
        <w:pStyle w:val="BodyText"/>
        <w:ind w:left="29"/>
        <w:spacing w:before="139" w:line="219" w:lineRule="auto"/>
        <w:rPr/>
      </w:pPr>
      <w:r>
        <w:rPr>
          <w:spacing w:val="-2"/>
        </w:rPr>
        <w:t>4.6 最优的生产要素组合</w:t>
      </w:r>
    </w:p>
    <w:p>
      <w:pPr>
        <w:pStyle w:val="BodyText"/>
        <w:ind w:left="29"/>
        <w:spacing w:before="180" w:line="219" w:lineRule="auto"/>
        <w:rPr/>
      </w:pPr>
      <w:r>
        <w:rPr>
          <w:spacing w:val="-5"/>
        </w:rPr>
        <w:t>4.7</w:t>
      </w:r>
      <w:r>
        <w:rPr>
          <w:spacing w:val="-37"/>
        </w:rPr>
        <w:t xml:space="preserve"> </w:t>
      </w:r>
      <w:r>
        <w:rPr>
          <w:spacing w:val="-5"/>
        </w:rPr>
        <w:t>规模报酬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40"/>
        <w:spacing w:before="78" w:line="219" w:lineRule="auto"/>
        <w:outlineLvl w:val="0"/>
        <w:rPr/>
      </w:pPr>
      <w:r>
        <w:rPr>
          <w:b/>
          <w:bCs/>
          <w:spacing w:val="-11"/>
        </w:rPr>
        <w:t>5</w:t>
      </w:r>
      <w:r>
        <w:rPr>
          <w:spacing w:val="18"/>
        </w:rPr>
        <w:t xml:space="preserve"> </w:t>
      </w:r>
      <w:r>
        <w:rPr>
          <w:b/>
          <w:bCs/>
          <w:spacing w:val="-11"/>
        </w:rPr>
        <w:t>成本论</w:t>
      </w:r>
    </w:p>
    <w:p>
      <w:pPr>
        <w:pStyle w:val="BodyText"/>
        <w:ind w:left="40"/>
        <w:spacing w:before="183" w:line="219" w:lineRule="auto"/>
        <w:rPr/>
      </w:pPr>
      <w:r>
        <w:rPr>
          <w:spacing w:val="-4"/>
        </w:rPr>
        <w:t>5.1 成本的概念</w:t>
      </w:r>
    </w:p>
    <w:p>
      <w:pPr>
        <w:pStyle w:val="BodyText"/>
        <w:ind w:left="40"/>
        <w:spacing w:before="181" w:line="219" w:lineRule="auto"/>
        <w:rPr/>
      </w:pPr>
      <w:r>
        <w:rPr>
          <w:spacing w:val="-2"/>
        </w:rPr>
        <w:t>5.2 短期总产量和短期总成本</w:t>
      </w:r>
    </w:p>
    <w:p>
      <w:pPr>
        <w:pStyle w:val="BodyText"/>
        <w:ind w:left="40"/>
        <w:spacing w:before="183" w:line="219" w:lineRule="auto"/>
        <w:rPr/>
      </w:pPr>
      <w:r>
        <w:rPr>
          <w:spacing w:val="-3"/>
        </w:rPr>
        <w:t>5.3 短期成本曲线</w:t>
      </w:r>
    </w:p>
    <w:p>
      <w:pPr>
        <w:pStyle w:val="BodyText"/>
        <w:ind w:left="40"/>
        <w:spacing w:before="184" w:line="219" w:lineRule="auto"/>
        <w:rPr/>
      </w:pPr>
      <w:r>
        <w:rPr>
          <w:spacing w:val="-3"/>
        </w:rPr>
        <w:t>5.4 长期成本曲线</w:t>
      </w:r>
    </w:p>
    <w:p>
      <w:pPr>
        <w:pStyle w:val="BodyText"/>
        <w:ind w:left="40"/>
        <w:spacing w:before="184" w:line="219" w:lineRule="auto"/>
        <w:rPr/>
      </w:pPr>
      <w:r>
        <w:rPr>
          <w:spacing w:val="-2"/>
        </w:rPr>
        <w:t>5.5</w:t>
      </w:r>
      <w:r>
        <w:rPr>
          <w:spacing w:val="-24"/>
        </w:rPr>
        <w:t xml:space="preserve"> </w:t>
      </w:r>
      <w:r>
        <w:rPr>
          <w:spacing w:val="-2"/>
        </w:rPr>
        <w:t>规模经济、内在经济与内在不经济、外在经济与外在不经济的含义</w:t>
      </w:r>
    </w:p>
    <w:p>
      <w:pPr>
        <w:pStyle w:val="BodyText"/>
        <w:ind w:left="40"/>
        <w:spacing w:before="183" w:line="219" w:lineRule="auto"/>
        <w:rPr/>
      </w:pPr>
      <w:r>
        <w:rPr>
          <w:spacing w:val="-2"/>
        </w:rPr>
        <w:t>5.6 最优产出率与最优规模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34"/>
        <w:spacing w:before="79" w:line="219" w:lineRule="auto"/>
        <w:outlineLvl w:val="0"/>
        <w:rPr/>
      </w:pPr>
      <w:r>
        <w:rPr>
          <w:b/>
          <w:bCs/>
          <w:spacing w:val="-6"/>
        </w:rPr>
        <w:t>6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完全竞争市场</w:t>
      </w:r>
    </w:p>
    <w:p>
      <w:pPr>
        <w:pStyle w:val="BodyText"/>
        <w:ind w:left="34"/>
        <w:spacing w:before="181" w:line="219" w:lineRule="auto"/>
        <w:rPr/>
      </w:pPr>
      <w:r>
        <w:rPr>
          <w:spacing w:val="-2"/>
        </w:rPr>
        <w:t>6.1 厂商和市场的类型</w:t>
      </w:r>
    </w:p>
    <w:p>
      <w:pPr>
        <w:pStyle w:val="BodyText"/>
        <w:ind w:left="34"/>
        <w:spacing w:before="183" w:line="219" w:lineRule="auto"/>
        <w:rPr/>
      </w:pPr>
      <w:r>
        <w:rPr>
          <w:spacing w:val="-2"/>
        </w:rPr>
        <w:t>6.2 厂商的需求曲线和收益曲线</w:t>
      </w:r>
    </w:p>
    <w:p>
      <w:pPr>
        <w:pStyle w:val="BodyText"/>
        <w:ind w:left="34"/>
        <w:spacing w:before="183" w:line="219" w:lineRule="auto"/>
        <w:rPr/>
      </w:pPr>
      <w:r>
        <w:rPr>
          <w:spacing w:val="-2"/>
        </w:rPr>
        <w:t>6.3 利润最大化的均衡条件</w:t>
      </w:r>
    </w:p>
    <w:p>
      <w:pPr>
        <w:pStyle w:val="BodyText"/>
        <w:ind w:left="34"/>
        <w:spacing w:before="180" w:line="219" w:lineRule="auto"/>
        <w:rPr/>
      </w:pPr>
      <w:r>
        <w:rPr>
          <w:spacing w:val="-2"/>
        </w:rPr>
        <w:t>6.4 厂商短期均衡和短期供给曲线</w:t>
      </w:r>
    </w:p>
    <w:p>
      <w:pPr>
        <w:pStyle w:val="BodyText"/>
        <w:ind w:left="34"/>
        <w:spacing w:before="184" w:line="219" w:lineRule="auto"/>
        <w:rPr/>
      </w:pPr>
      <w:r>
        <w:rPr>
          <w:spacing w:val="-2"/>
        </w:rPr>
        <w:t>6.5 行业的短期供给曲线</w:t>
      </w:r>
    </w:p>
    <w:p>
      <w:pPr>
        <w:pStyle w:val="BodyText"/>
        <w:ind w:left="34"/>
        <w:spacing w:before="184" w:line="220" w:lineRule="auto"/>
        <w:rPr/>
      </w:pPr>
      <w:r>
        <w:rPr>
          <w:spacing w:val="-2"/>
        </w:rPr>
        <w:t>6.6 厂商的长期均衡</w:t>
      </w:r>
    </w:p>
    <w:p>
      <w:pPr>
        <w:pStyle w:val="BodyText"/>
        <w:ind w:left="34"/>
        <w:spacing w:before="179" w:line="219" w:lineRule="auto"/>
        <w:rPr/>
      </w:pPr>
      <w:r>
        <w:rPr>
          <w:spacing w:val="-2"/>
        </w:rPr>
        <w:t>6.7 行业的长期供给曲线</w:t>
      </w:r>
    </w:p>
    <w:p>
      <w:pPr>
        <w:pStyle w:val="BodyText"/>
        <w:ind w:left="34"/>
        <w:spacing w:before="184" w:line="219" w:lineRule="auto"/>
        <w:rPr/>
      </w:pPr>
      <w:r>
        <w:rPr>
          <w:spacing w:val="-2"/>
        </w:rPr>
        <w:t>6.8 市场的短期均衡和长期均衡</w:t>
      </w:r>
    </w:p>
    <w:p>
      <w:pPr>
        <w:pStyle w:val="BodyText"/>
        <w:ind w:left="34"/>
        <w:spacing w:before="183" w:line="219" w:lineRule="auto"/>
        <w:rPr/>
      </w:pPr>
      <w:r>
        <w:rPr>
          <w:spacing w:val="-2"/>
        </w:rPr>
        <w:t>6.9 消费者剩余和生产者剩余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43"/>
        <w:spacing w:before="79" w:line="219" w:lineRule="auto"/>
        <w:outlineLvl w:val="0"/>
        <w:rPr/>
      </w:pPr>
      <w:r>
        <w:rPr>
          <w:b/>
          <w:bCs/>
          <w:spacing w:val="-6"/>
        </w:rPr>
        <w:t>7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不完全竞争的市场</w:t>
      </w:r>
    </w:p>
    <w:p>
      <w:pPr>
        <w:pStyle w:val="BodyText"/>
        <w:ind w:left="43"/>
        <w:spacing w:before="183" w:line="219" w:lineRule="auto"/>
        <w:rPr/>
      </w:pPr>
      <w:r>
        <w:rPr>
          <w:spacing w:val="-7"/>
        </w:rPr>
        <w:t>7.1</w:t>
      </w:r>
      <w:r>
        <w:rPr>
          <w:spacing w:val="16"/>
        </w:rPr>
        <w:t xml:space="preserve"> </w:t>
      </w:r>
      <w:r>
        <w:rPr>
          <w:spacing w:val="-7"/>
        </w:rPr>
        <w:t>垄断</w:t>
      </w:r>
    </w:p>
    <w:p>
      <w:pPr>
        <w:pStyle w:val="BodyText"/>
        <w:ind w:left="43"/>
        <w:spacing w:before="181" w:line="219" w:lineRule="auto"/>
        <w:rPr/>
      </w:pPr>
      <w:r>
        <w:rPr>
          <w:spacing w:val="-4"/>
        </w:rPr>
        <w:t>7.2 垄断竞争</w:t>
      </w:r>
    </w:p>
    <w:p>
      <w:pPr>
        <w:pStyle w:val="BodyText"/>
        <w:ind w:left="43"/>
        <w:spacing w:before="183" w:line="219" w:lineRule="auto"/>
        <w:rPr/>
      </w:pPr>
      <w:r>
        <w:rPr>
          <w:spacing w:val="-6"/>
        </w:rPr>
        <w:t>7.3</w:t>
      </w:r>
      <w:r>
        <w:rPr>
          <w:spacing w:val="16"/>
        </w:rPr>
        <w:t xml:space="preserve"> </w:t>
      </w:r>
      <w:r>
        <w:rPr>
          <w:spacing w:val="-6"/>
        </w:rPr>
        <w:t>寡头垄断</w:t>
      </w:r>
    </w:p>
    <w:p>
      <w:pPr>
        <w:pStyle w:val="BodyText"/>
        <w:ind w:left="43"/>
        <w:spacing w:before="184" w:line="219" w:lineRule="auto"/>
        <w:rPr/>
      </w:pPr>
      <w:r>
        <w:rPr>
          <w:spacing w:val="-4"/>
        </w:rPr>
        <w:t>7.4 不同市场的比较</w:t>
      </w:r>
    </w:p>
    <w:p>
      <w:pPr>
        <w:pStyle w:val="BodyText"/>
        <w:ind w:left="43"/>
        <w:spacing w:before="180" w:line="219" w:lineRule="auto"/>
        <w:rPr/>
      </w:pPr>
      <w:r>
        <w:rPr>
          <w:spacing w:val="-5"/>
        </w:rPr>
        <w:t>7.5</w:t>
      </w:r>
      <w:r>
        <w:rPr>
          <w:spacing w:val="-36"/>
        </w:rPr>
        <w:t xml:space="preserve"> </w:t>
      </w:r>
      <w:r>
        <w:rPr>
          <w:spacing w:val="-5"/>
        </w:rPr>
        <w:t>博弈论初步知识</w:t>
      </w:r>
    </w:p>
    <w:p>
      <w:pPr>
        <w:spacing w:line="219" w:lineRule="auto"/>
        <w:sectPr>
          <w:footerReference w:type="default" r:id="rId2"/>
          <w:pgSz w:w="11907" w:h="16840"/>
          <w:pgMar w:top="1431" w:right="1786" w:bottom="1138" w:left="1786" w:header="0" w:footer="975" w:gutter="0"/>
        </w:sectPr>
        <w:rPr/>
      </w:pPr>
    </w:p>
    <w:p>
      <w:pPr>
        <w:pStyle w:val="BodyText"/>
        <w:ind w:left="33"/>
        <w:spacing w:before="136" w:line="218" w:lineRule="auto"/>
        <w:outlineLvl w:val="0"/>
        <w:rPr/>
      </w:pPr>
      <w:r>
        <w:rPr>
          <w:b/>
          <w:bCs/>
          <w:spacing w:val="-6"/>
        </w:rPr>
        <w:t>8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生产要素价格的决定</w:t>
      </w:r>
    </w:p>
    <w:p>
      <w:pPr>
        <w:pStyle w:val="BodyText"/>
        <w:ind w:left="33"/>
        <w:spacing w:before="185" w:line="219" w:lineRule="auto"/>
        <w:rPr/>
      </w:pPr>
      <w:r>
        <w:rPr>
          <w:spacing w:val="-3"/>
        </w:rPr>
        <w:t>8.1</w:t>
      </w:r>
      <w:r>
        <w:rPr>
          <w:spacing w:val="-34"/>
        </w:rPr>
        <w:t xml:space="preserve"> </w:t>
      </w:r>
      <w:r>
        <w:rPr>
          <w:spacing w:val="-3"/>
        </w:rPr>
        <w:t>完全竞争厂商使用生产要素</w:t>
      </w:r>
    </w:p>
    <w:p>
      <w:pPr>
        <w:pStyle w:val="BodyText"/>
        <w:ind w:left="33"/>
        <w:spacing w:before="183" w:line="219" w:lineRule="auto"/>
        <w:rPr/>
      </w:pPr>
      <w:r>
        <w:rPr>
          <w:spacing w:val="-2"/>
        </w:rPr>
        <w:t>8.2 完全竞争厂商要素需求曲线</w:t>
      </w:r>
    </w:p>
    <w:p>
      <w:pPr>
        <w:pStyle w:val="BodyText"/>
        <w:ind w:left="33"/>
        <w:spacing w:before="180" w:line="219" w:lineRule="auto"/>
        <w:rPr/>
      </w:pPr>
      <w:r>
        <w:rPr>
          <w:spacing w:val="-2"/>
        </w:rPr>
        <w:t>8.3 厂商需求曲线到市场需求曲线</w:t>
      </w:r>
    </w:p>
    <w:p>
      <w:pPr>
        <w:pStyle w:val="BodyText"/>
        <w:ind w:left="33"/>
        <w:spacing w:before="180" w:line="219" w:lineRule="auto"/>
        <w:rPr/>
      </w:pPr>
      <w:r>
        <w:rPr>
          <w:spacing w:val="-2"/>
        </w:rPr>
        <w:t>8.4 对供给方面的概述</w:t>
      </w:r>
    </w:p>
    <w:p>
      <w:pPr>
        <w:pStyle w:val="BodyText"/>
        <w:ind w:left="33"/>
        <w:spacing w:before="183" w:line="219" w:lineRule="auto"/>
        <w:rPr/>
      </w:pPr>
      <w:r>
        <w:rPr>
          <w:spacing w:val="-2"/>
        </w:rPr>
        <w:t>8.5 劳动供给的决定</w:t>
      </w:r>
    </w:p>
    <w:p>
      <w:pPr>
        <w:pStyle w:val="BodyText"/>
        <w:ind w:left="33"/>
        <w:spacing w:before="183" w:line="219" w:lineRule="auto"/>
        <w:rPr/>
      </w:pPr>
      <w:r>
        <w:rPr>
          <w:spacing w:val="-2"/>
        </w:rPr>
        <w:t>8.6 土地供给的决定</w:t>
      </w:r>
    </w:p>
    <w:p>
      <w:pPr>
        <w:pStyle w:val="BodyText"/>
        <w:ind w:left="33"/>
        <w:spacing w:before="181" w:line="219" w:lineRule="auto"/>
        <w:rPr/>
      </w:pPr>
      <w:r>
        <w:rPr>
          <w:spacing w:val="-5"/>
        </w:rPr>
        <w:t>8.7</w:t>
      </w:r>
      <w:r>
        <w:rPr>
          <w:spacing w:val="36"/>
        </w:rPr>
        <w:t xml:space="preserve"> </w:t>
      </w:r>
      <w:r>
        <w:rPr>
          <w:spacing w:val="-5"/>
        </w:rPr>
        <w:t>资本供给的决定</w:t>
      </w:r>
    </w:p>
    <w:p>
      <w:pPr>
        <w:pStyle w:val="BodyText"/>
        <w:ind w:left="33"/>
        <w:spacing w:before="187" w:line="219" w:lineRule="auto"/>
        <w:rPr/>
      </w:pPr>
      <w:r>
        <w:rPr>
          <w:spacing w:val="-2"/>
        </w:rPr>
        <w:t>8.8 洛伦兹曲线和基尼系数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33"/>
        <w:spacing w:before="78" w:line="220" w:lineRule="auto"/>
        <w:outlineLvl w:val="0"/>
        <w:rPr/>
      </w:pPr>
      <w:r>
        <w:rPr>
          <w:b/>
          <w:bCs/>
          <w:spacing w:val="-6"/>
        </w:rPr>
        <w:t>9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一般均衡论和福利经济学</w:t>
      </w:r>
    </w:p>
    <w:p>
      <w:pPr>
        <w:pStyle w:val="BodyText"/>
        <w:ind w:left="33"/>
        <w:spacing w:before="180" w:line="220" w:lineRule="auto"/>
        <w:rPr/>
      </w:pPr>
      <w:r>
        <w:rPr>
          <w:spacing w:val="-6"/>
        </w:rPr>
        <w:t>9.1</w:t>
      </w:r>
      <w:r>
        <w:rPr>
          <w:spacing w:val="25"/>
        </w:rPr>
        <w:t xml:space="preserve"> </w:t>
      </w:r>
      <w:r>
        <w:rPr>
          <w:spacing w:val="-6"/>
        </w:rPr>
        <w:t>一般均衡</w:t>
      </w:r>
    </w:p>
    <w:p>
      <w:pPr>
        <w:pStyle w:val="BodyText"/>
        <w:ind w:left="33"/>
        <w:spacing w:before="182" w:line="219" w:lineRule="auto"/>
        <w:rPr/>
      </w:pPr>
      <w:r>
        <w:rPr>
          <w:spacing w:val="-3"/>
        </w:rPr>
        <w:t>9.2 经济效率</w:t>
      </w:r>
    </w:p>
    <w:p>
      <w:pPr>
        <w:pStyle w:val="BodyText"/>
        <w:ind w:left="33"/>
        <w:spacing w:before="181" w:line="219" w:lineRule="auto"/>
        <w:rPr/>
      </w:pPr>
      <w:r>
        <w:rPr>
          <w:spacing w:val="-2"/>
        </w:rPr>
        <w:t>9.3 交换的帕累托最优条件</w:t>
      </w:r>
    </w:p>
    <w:p>
      <w:pPr>
        <w:pStyle w:val="BodyText"/>
        <w:ind w:left="33"/>
        <w:spacing w:before="184" w:line="219" w:lineRule="auto"/>
        <w:rPr/>
      </w:pPr>
      <w:r>
        <w:rPr>
          <w:spacing w:val="-2"/>
        </w:rPr>
        <w:t>9.4 生产的帕累托最优条件</w:t>
      </w:r>
    </w:p>
    <w:p>
      <w:pPr>
        <w:pStyle w:val="BodyText"/>
        <w:ind w:left="33"/>
        <w:spacing w:before="183" w:line="219" w:lineRule="auto"/>
        <w:rPr/>
      </w:pPr>
      <w:r>
        <w:rPr>
          <w:spacing w:val="-2"/>
        </w:rPr>
        <w:t>9.5 交换和生产的帕累托最优条件</w:t>
      </w:r>
    </w:p>
    <w:p>
      <w:pPr>
        <w:pStyle w:val="BodyText"/>
        <w:ind w:left="33"/>
        <w:spacing w:before="183" w:line="219" w:lineRule="auto"/>
        <w:rPr/>
      </w:pPr>
      <w:r>
        <w:rPr>
          <w:spacing w:val="-2"/>
        </w:rPr>
        <w:t>9.6 完全竞争和帕累托最优状态</w:t>
      </w:r>
    </w:p>
    <w:p>
      <w:pPr>
        <w:pStyle w:val="BodyText"/>
        <w:ind w:left="33"/>
        <w:spacing w:before="180" w:line="219" w:lineRule="auto"/>
        <w:rPr/>
      </w:pPr>
      <w:r>
        <w:rPr>
          <w:spacing w:val="-2"/>
        </w:rPr>
        <w:t>9.7 社会福利函数</w:t>
      </w:r>
    </w:p>
    <w:p>
      <w:pPr>
        <w:pStyle w:val="BodyText"/>
        <w:ind w:left="33"/>
        <w:spacing w:before="184" w:line="219" w:lineRule="auto"/>
        <w:rPr/>
      </w:pPr>
      <w:r>
        <w:rPr>
          <w:spacing w:val="-5"/>
        </w:rPr>
        <w:t>9.8</w:t>
      </w:r>
      <w:r>
        <w:rPr>
          <w:spacing w:val="24"/>
        </w:rPr>
        <w:t xml:space="preserve"> </w:t>
      </w:r>
      <w:r>
        <w:rPr>
          <w:spacing w:val="-5"/>
        </w:rPr>
        <w:t>效率与公平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67"/>
        <w:spacing w:before="79" w:line="219" w:lineRule="auto"/>
        <w:outlineLvl w:val="0"/>
        <w:rPr/>
      </w:pPr>
      <w:r>
        <w:rPr>
          <w:b/>
          <w:bCs/>
          <w:spacing w:val="-8"/>
        </w:rPr>
        <w:t>10</w:t>
      </w:r>
      <w:r>
        <w:rPr>
          <w:spacing w:val="-8"/>
        </w:rPr>
        <w:t xml:space="preserve"> </w:t>
      </w:r>
      <w:r>
        <w:rPr>
          <w:b/>
          <w:bCs/>
          <w:spacing w:val="-8"/>
        </w:rPr>
        <w:t>市场失灵和微观经济政策</w:t>
      </w:r>
    </w:p>
    <w:p>
      <w:pPr>
        <w:pStyle w:val="BodyText"/>
        <w:ind w:left="67"/>
        <w:spacing w:before="183" w:line="219" w:lineRule="auto"/>
        <w:rPr/>
      </w:pPr>
      <w:r>
        <w:rPr>
          <w:spacing w:val="-5"/>
        </w:rPr>
        <w:t>10.1 市场失灵与垄断</w:t>
      </w:r>
    </w:p>
    <w:p>
      <w:pPr>
        <w:pStyle w:val="BodyText"/>
        <w:ind w:left="67"/>
        <w:spacing w:before="184" w:line="219" w:lineRule="auto"/>
        <w:rPr/>
      </w:pPr>
      <w:r>
        <w:rPr>
          <w:spacing w:val="-4"/>
        </w:rPr>
        <w:t>10.2 外部影响与解决方法</w:t>
      </w:r>
    </w:p>
    <w:p>
      <w:pPr>
        <w:pStyle w:val="BodyText"/>
        <w:ind w:left="67"/>
        <w:spacing w:before="181" w:line="219" w:lineRule="auto"/>
        <w:rPr/>
      </w:pPr>
      <w:r>
        <w:rPr>
          <w:spacing w:val="-4"/>
        </w:rPr>
        <w:t>10.3 公共物品和公共资源</w:t>
      </w:r>
    </w:p>
    <w:p>
      <w:pPr>
        <w:pStyle w:val="BodyText"/>
        <w:ind w:left="67"/>
        <w:spacing w:before="183" w:line="219" w:lineRule="auto"/>
        <w:rPr/>
      </w:pPr>
      <w:r>
        <w:rPr>
          <w:spacing w:val="-4"/>
        </w:rPr>
        <w:t>10.4 信息的不完全和不对称</w:t>
      </w:r>
    </w:p>
    <w:p>
      <w:pPr>
        <w:pStyle w:val="BodyText"/>
        <w:ind w:left="67"/>
        <w:spacing w:before="183" w:line="219" w:lineRule="auto"/>
        <w:rPr/>
      </w:pPr>
      <w:r>
        <w:rPr>
          <w:spacing w:val="-5"/>
        </w:rPr>
        <w:t>10.5 排他性与竞争性</w:t>
      </w:r>
    </w:p>
    <w:p>
      <w:pPr>
        <w:pStyle w:val="BodyText"/>
        <w:ind w:left="67"/>
        <w:spacing w:before="183" w:line="220" w:lineRule="auto"/>
        <w:rPr/>
      </w:pPr>
      <w:r>
        <w:rPr>
          <w:spacing w:val="-4"/>
        </w:rPr>
        <w:t>10.6 逆向选择与道德风险</w:t>
      </w:r>
    </w:p>
    <w:p>
      <w:pPr>
        <w:pStyle w:val="BodyText"/>
        <w:ind w:left="67"/>
        <w:spacing w:before="180" w:line="219" w:lineRule="auto"/>
        <w:rPr/>
      </w:pPr>
      <w:r>
        <w:rPr>
          <w:spacing w:val="-5"/>
        </w:rPr>
        <w:t>10.7 委托代理问题</w:t>
      </w:r>
    </w:p>
    <w:p>
      <w:pPr>
        <w:spacing w:line="219" w:lineRule="auto"/>
        <w:sectPr>
          <w:footerReference w:type="default" r:id="rId3"/>
          <w:pgSz w:w="11907" w:h="16840"/>
          <w:pgMar w:top="1431" w:right="1786" w:bottom="1138" w:left="1786" w:header="0" w:footer="976" w:gutter="0"/>
        </w:sectPr>
        <w:rPr/>
      </w:pPr>
    </w:p>
    <w:p>
      <w:pPr>
        <w:ind w:left="3382"/>
        <w:spacing w:before="195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15"/>
        </w:rPr>
        <w:t>（宏观部分）</w:t>
      </w:r>
    </w:p>
    <w:p>
      <w:pPr>
        <w:pStyle w:val="BodyText"/>
        <w:ind w:left="67"/>
        <w:spacing w:before="229" w:line="219" w:lineRule="auto"/>
        <w:outlineLvl w:val="0"/>
        <w:rPr/>
      </w:pPr>
      <w:r>
        <w:rPr>
          <w:b/>
          <w:bCs/>
          <w:spacing w:val="-16"/>
        </w:rPr>
        <w:t>11</w:t>
      </w:r>
      <w:r>
        <w:rPr>
          <w:spacing w:val="62"/>
        </w:rPr>
        <w:t xml:space="preserve"> </w:t>
      </w:r>
      <w:r>
        <w:rPr>
          <w:b/>
          <w:bCs/>
          <w:spacing w:val="-16"/>
        </w:rPr>
        <w:t>国民收入核算</w:t>
      </w:r>
    </w:p>
    <w:p>
      <w:pPr>
        <w:pStyle w:val="BodyText"/>
        <w:ind w:left="67"/>
        <w:spacing w:before="180" w:line="219" w:lineRule="auto"/>
        <w:rPr/>
      </w:pPr>
      <w:r>
        <w:rPr>
          <w:spacing w:val="-10"/>
        </w:rPr>
        <w:t>11.1</w:t>
      </w:r>
      <w:r>
        <w:rPr>
          <w:spacing w:val="59"/>
        </w:rPr>
        <w:t xml:space="preserve"> </w:t>
      </w:r>
      <w:r>
        <w:rPr>
          <w:spacing w:val="-10"/>
        </w:rPr>
        <w:t>国内生产总值</w:t>
      </w:r>
    </w:p>
    <w:p>
      <w:pPr>
        <w:pStyle w:val="BodyText"/>
        <w:ind w:left="67"/>
        <w:spacing w:before="183" w:line="219" w:lineRule="auto"/>
        <w:rPr/>
      </w:pPr>
      <w:r>
        <w:rPr>
          <w:spacing w:val="-9"/>
        </w:rPr>
        <w:t>11.2</w:t>
      </w:r>
      <w:r>
        <w:rPr>
          <w:spacing w:val="72"/>
        </w:rPr>
        <w:t xml:space="preserve"> </w:t>
      </w:r>
      <w:r>
        <w:rPr>
          <w:spacing w:val="-9"/>
        </w:rPr>
        <w:t>国民收入的核算方法</w:t>
      </w:r>
    </w:p>
    <w:p>
      <w:pPr>
        <w:pStyle w:val="BodyText"/>
        <w:ind w:left="67"/>
        <w:spacing w:before="180" w:line="219" w:lineRule="auto"/>
        <w:rPr/>
      </w:pPr>
      <w:r>
        <w:rPr>
          <w:spacing w:val="-9"/>
        </w:rPr>
        <w:t>11.3</w:t>
      </w:r>
      <w:r>
        <w:rPr>
          <w:spacing w:val="72"/>
        </w:rPr>
        <w:t xml:space="preserve"> </w:t>
      </w:r>
      <w:r>
        <w:rPr>
          <w:spacing w:val="-9"/>
        </w:rPr>
        <w:t>国民收入的基本公式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67"/>
        <w:spacing w:before="78" w:line="219" w:lineRule="auto"/>
        <w:rPr/>
      </w:pPr>
      <w:r>
        <w:rPr>
          <w:b/>
          <w:bCs/>
          <w:spacing w:val="-10"/>
        </w:rPr>
        <w:t>12</w:t>
      </w:r>
      <w:r>
        <w:rPr>
          <w:spacing w:val="-28"/>
        </w:rPr>
        <w:t xml:space="preserve"> </w:t>
      </w:r>
      <w:r>
        <w:rPr>
          <w:b/>
          <w:bCs/>
          <w:spacing w:val="-10"/>
        </w:rPr>
        <w:t>简单国民收入决定理论</w:t>
      </w:r>
    </w:p>
    <w:p>
      <w:pPr>
        <w:pStyle w:val="BodyText"/>
        <w:ind w:left="67"/>
        <w:spacing w:before="185" w:line="219" w:lineRule="auto"/>
        <w:rPr/>
      </w:pPr>
      <w:r>
        <w:rPr>
          <w:spacing w:val="-6"/>
        </w:rPr>
        <w:t>12.1 均衡产出</w:t>
      </w:r>
    </w:p>
    <w:p>
      <w:pPr>
        <w:pStyle w:val="BodyText"/>
        <w:ind w:left="67"/>
        <w:spacing w:before="182" w:line="220" w:lineRule="auto"/>
        <w:rPr/>
      </w:pPr>
      <w:r>
        <w:rPr>
          <w:spacing w:val="-8"/>
        </w:rPr>
        <w:t>12.2</w:t>
      </w:r>
      <w:r>
        <w:rPr>
          <w:spacing w:val="21"/>
        </w:rPr>
        <w:t xml:space="preserve"> </w:t>
      </w:r>
      <w:r>
        <w:rPr>
          <w:spacing w:val="-8"/>
        </w:rPr>
        <w:t>消费理论</w:t>
      </w:r>
    </w:p>
    <w:p>
      <w:pPr>
        <w:pStyle w:val="BodyText"/>
        <w:ind w:left="67"/>
        <w:spacing w:before="183" w:line="219" w:lineRule="auto"/>
        <w:rPr/>
      </w:pPr>
      <w:r>
        <w:rPr>
          <w:spacing w:val="-4"/>
        </w:rPr>
        <w:t>12.3 两部门收入决定与乘数</w:t>
      </w:r>
    </w:p>
    <w:p>
      <w:pPr>
        <w:pStyle w:val="BodyText"/>
        <w:ind w:left="67"/>
        <w:spacing w:before="181" w:line="219" w:lineRule="auto"/>
        <w:rPr/>
      </w:pPr>
      <w:r>
        <w:rPr>
          <w:spacing w:val="-4"/>
        </w:rPr>
        <w:t>12.4 多部门收入决定与乘数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67"/>
        <w:spacing w:before="79" w:line="219" w:lineRule="auto"/>
        <w:outlineLvl w:val="0"/>
        <w:rPr/>
      </w:pPr>
      <w:r>
        <w:rPr>
          <w:b/>
          <w:bCs/>
          <w:spacing w:val="-7"/>
        </w:rPr>
        <w:t>13</w:t>
      </w:r>
      <w:r>
        <w:rPr>
          <w:spacing w:val="-7"/>
        </w:rPr>
        <w:t xml:space="preserve"> </w:t>
      </w:r>
      <w:r>
        <w:rPr>
          <w:b/>
          <w:bCs/>
          <w:spacing w:val="-7"/>
        </w:rPr>
        <w:t>产品市场和货币市场的一般均衡</w:t>
      </w:r>
    </w:p>
    <w:p>
      <w:pPr>
        <w:pStyle w:val="BodyText"/>
        <w:ind w:left="67"/>
        <w:spacing w:before="184" w:line="219" w:lineRule="auto"/>
        <w:rPr/>
      </w:pPr>
      <w:r>
        <w:rPr>
          <w:spacing w:val="-6"/>
        </w:rPr>
        <w:t>13.1 投资的决定</w:t>
      </w:r>
    </w:p>
    <w:p>
      <w:pPr>
        <w:pStyle w:val="BodyText"/>
        <w:ind w:left="67"/>
        <w:spacing w:before="183" w:line="220" w:lineRule="auto"/>
        <w:rPr/>
      </w:pPr>
      <w:r>
        <w:rPr>
          <w:spacing w:val="-15"/>
        </w:rPr>
        <w:t>13.2</w:t>
      </w:r>
      <w:r>
        <w:rPr>
          <w:spacing w:val="37"/>
        </w:rPr>
        <w:t xml:space="preserve"> </w:t>
      </w:r>
      <w:r>
        <w:rPr>
          <w:spacing w:val="-15"/>
        </w:rPr>
        <w:t>IS</w:t>
      </w:r>
      <w:r>
        <w:rPr>
          <w:spacing w:val="2"/>
        </w:rPr>
        <w:t xml:space="preserve"> </w:t>
      </w:r>
      <w:r>
        <w:rPr>
          <w:spacing w:val="-15"/>
        </w:rPr>
        <w:t>曲线</w:t>
      </w:r>
    </w:p>
    <w:p>
      <w:pPr>
        <w:pStyle w:val="BodyText"/>
        <w:ind w:left="67"/>
        <w:spacing w:before="180" w:line="219" w:lineRule="auto"/>
        <w:rPr/>
      </w:pPr>
      <w:r>
        <w:rPr>
          <w:spacing w:val="-6"/>
        </w:rPr>
        <w:t>13.3 利率的决定</w:t>
      </w:r>
    </w:p>
    <w:p>
      <w:pPr>
        <w:pStyle w:val="BodyText"/>
        <w:ind w:left="67"/>
        <w:spacing w:before="183" w:line="220" w:lineRule="auto"/>
        <w:rPr/>
      </w:pPr>
      <w:r>
        <w:rPr>
          <w:spacing w:val="-12"/>
        </w:rPr>
        <w:t>13.4</w:t>
      </w:r>
      <w:r>
        <w:rPr>
          <w:spacing w:val="6"/>
        </w:rPr>
        <w:t xml:space="preserve"> </w:t>
      </w:r>
      <w:r>
        <w:rPr>
          <w:spacing w:val="-12"/>
        </w:rPr>
        <w:t>LM</w:t>
      </w:r>
      <w:r>
        <w:rPr>
          <w:spacing w:val="4"/>
        </w:rPr>
        <w:t xml:space="preserve"> </w:t>
      </w:r>
      <w:r>
        <w:rPr>
          <w:spacing w:val="-12"/>
        </w:rPr>
        <w:t>曲线</w:t>
      </w:r>
    </w:p>
    <w:p>
      <w:pPr>
        <w:pStyle w:val="BodyText"/>
        <w:ind w:left="67"/>
        <w:spacing w:before="182" w:line="220" w:lineRule="auto"/>
        <w:rPr/>
      </w:pPr>
      <w:r>
        <w:rPr>
          <w:spacing w:val="-9"/>
        </w:rPr>
        <w:t>13.5</w:t>
      </w:r>
      <w:r>
        <w:rPr>
          <w:spacing w:val="44"/>
        </w:rPr>
        <w:t xml:space="preserve"> </w:t>
      </w:r>
      <w:r>
        <w:rPr>
          <w:spacing w:val="-9"/>
        </w:rPr>
        <w:t>IS-LM</w:t>
      </w:r>
      <w:r>
        <w:rPr>
          <w:spacing w:val="-46"/>
        </w:rPr>
        <w:t xml:space="preserve"> </w:t>
      </w:r>
      <w:r>
        <w:rPr>
          <w:spacing w:val="-9"/>
        </w:rPr>
        <w:t>分析</w:t>
      </w:r>
    </w:p>
    <w:p>
      <w:pPr>
        <w:pStyle w:val="BodyText"/>
        <w:ind w:left="67"/>
        <w:spacing w:before="182" w:line="219" w:lineRule="auto"/>
        <w:rPr/>
      </w:pPr>
      <w:r>
        <w:rPr>
          <w:spacing w:val="-4"/>
        </w:rPr>
        <w:t>13.6 凯恩斯的国民收入决定理论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67"/>
        <w:spacing w:before="78" w:line="220" w:lineRule="auto"/>
        <w:outlineLvl w:val="0"/>
        <w:rPr/>
      </w:pPr>
      <w:r>
        <w:rPr>
          <w:b/>
          <w:bCs/>
          <w:spacing w:val="-8"/>
        </w:rPr>
        <w:t>14</w:t>
      </w:r>
      <w:r>
        <w:rPr>
          <w:spacing w:val="-8"/>
        </w:rPr>
        <w:t xml:space="preserve"> </w:t>
      </w:r>
      <w:r>
        <w:rPr>
          <w:b/>
          <w:bCs/>
          <w:spacing w:val="-8"/>
        </w:rPr>
        <w:t>宏观经济政策分析</w:t>
      </w:r>
    </w:p>
    <w:p>
      <w:pPr>
        <w:pStyle w:val="BodyText"/>
        <w:ind w:left="67"/>
        <w:spacing w:before="182" w:line="220" w:lineRule="auto"/>
        <w:rPr/>
      </w:pPr>
      <w:r>
        <w:rPr>
          <w:spacing w:val="-5"/>
        </w:rPr>
        <w:t>14.1 宏观政策影响</w:t>
      </w:r>
    </w:p>
    <w:p>
      <w:pPr>
        <w:pStyle w:val="BodyText"/>
        <w:ind w:left="67"/>
        <w:spacing w:before="180" w:line="220" w:lineRule="auto"/>
        <w:rPr/>
      </w:pPr>
      <w:r>
        <w:rPr>
          <w:spacing w:val="-4"/>
        </w:rPr>
        <w:t>14.2 财政政策工具、影响及其效果</w:t>
      </w:r>
    </w:p>
    <w:p>
      <w:pPr>
        <w:pStyle w:val="BodyText"/>
        <w:ind w:left="67"/>
        <w:spacing w:before="179" w:line="219" w:lineRule="auto"/>
        <w:rPr/>
      </w:pPr>
      <w:r>
        <w:rPr>
          <w:spacing w:val="-4"/>
        </w:rPr>
        <w:t>14.3 货币政策工具、影响及其效果</w:t>
      </w:r>
    </w:p>
    <w:p>
      <w:pPr>
        <w:pStyle w:val="BodyText"/>
        <w:ind w:left="67"/>
        <w:spacing w:before="183" w:line="219" w:lineRule="auto"/>
        <w:rPr/>
      </w:pPr>
      <w:r>
        <w:rPr>
          <w:spacing w:val="-4"/>
        </w:rPr>
        <w:t>14.4 存款创造、基础货币与货币乘数</w:t>
      </w:r>
    </w:p>
    <w:p>
      <w:pPr>
        <w:pStyle w:val="BodyText"/>
        <w:ind w:left="67"/>
        <w:spacing w:before="185" w:line="219" w:lineRule="auto"/>
        <w:rPr/>
      </w:pPr>
      <w:r>
        <w:rPr>
          <w:spacing w:val="-5"/>
        </w:rPr>
        <w:t>14.5 政策混合使用</w:t>
      </w:r>
    </w:p>
    <w:p>
      <w:pPr>
        <w:pStyle w:val="BodyText"/>
        <w:ind w:left="67"/>
        <w:spacing w:before="183" w:line="220" w:lineRule="auto"/>
        <w:rPr/>
      </w:pPr>
      <w:r>
        <w:rPr>
          <w:spacing w:val="-5"/>
        </w:rPr>
        <w:t>14.5 政策理论演变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67"/>
        <w:spacing w:before="78" w:line="219" w:lineRule="auto"/>
        <w:outlineLvl w:val="0"/>
        <w:rPr/>
      </w:pPr>
      <w:r>
        <w:rPr>
          <w:b/>
          <w:bCs/>
          <w:spacing w:val="-8"/>
        </w:rPr>
        <w:t>15</w:t>
      </w:r>
      <w:r>
        <w:rPr>
          <w:spacing w:val="-8"/>
        </w:rPr>
        <w:t xml:space="preserve"> </w:t>
      </w:r>
      <w:r>
        <w:rPr>
          <w:b/>
          <w:bCs/>
          <w:spacing w:val="-8"/>
        </w:rPr>
        <w:t>总需求-总供给模型</w:t>
      </w:r>
    </w:p>
    <w:p>
      <w:pPr>
        <w:spacing w:line="219" w:lineRule="auto"/>
        <w:sectPr>
          <w:footerReference w:type="default" r:id="rId4"/>
          <w:pgSz w:w="11907" w:h="16840"/>
          <w:pgMar w:top="1431" w:right="1786" w:bottom="1138" w:left="1786" w:header="0" w:footer="975" w:gutter="0"/>
        </w:sectPr>
        <w:rPr/>
      </w:pPr>
    </w:p>
    <w:p>
      <w:pPr>
        <w:pStyle w:val="BodyText"/>
        <w:ind w:left="67"/>
        <w:spacing w:before="139" w:line="220" w:lineRule="auto"/>
        <w:rPr/>
      </w:pPr>
      <w:r>
        <w:rPr>
          <w:spacing w:val="-8"/>
        </w:rPr>
        <w:t>15.1</w:t>
      </w:r>
      <w:r>
        <w:rPr>
          <w:spacing w:val="27"/>
        </w:rPr>
        <w:t xml:space="preserve"> </w:t>
      </w:r>
      <w:r>
        <w:rPr>
          <w:spacing w:val="-8"/>
        </w:rPr>
        <w:t>总需求曲线</w:t>
      </w:r>
    </w:p>
    <w:p>
      <w:pPr>
        <w:pStyle w:val="BodyText"/>
        <w:ind w:left="67"/>
        <w:spacing w:before="179" w:line="219" w:lineRule="auto"/>
        <w:rPr/>
      </w:pPr>
      <w:r>
        <w:rPr>
          <w:spacing w:val="-8"/>
        </w:rPr>
        <w:t>15.2</w:t>
      </w:r>
      <w:r>
        <w:rPr>
          <w:spacing w:val="27"/>
        </w:rPr>
        <w:t xml:space="preserve"> </w:t>
      </w:r>
      <w:r>
        <w:rPr>
          <w:spacing w:val="-8"/>
        </w:rPr>
        <w:t>总供给曲线</w:t>
      </w:r>
    </w:p>
    <w:p>
      <w:pPr>
        <w:pStyle w:val="BodyText"/>
        <w:ind w:left="67"/>
        <w:spacing w:before="181" w:line="219" w:lineRule="auto"/>
        <w:rPr/>
      </w:pPr>
      <w:r>
        <w:rPr>
          <w:spacing w:val="-5"/>
        </w:rPr>
        <w:t>15.3 对现实的解释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67"/>
        <w:spacing w:before="78" w:line="219" w:lineRule="auto"/>
        <w:outlineLvl w:val="0"/>
        <w:rPr/>
      </w:pPr>
      <w:r>
        <w:rPr>
          <w:b/>
          <w:bCs/>
          <w:spacing w:val="-9"/>
        </w:rPr>
        <w:t>16</w:t>
      </w:r>
      <w:r>
        <w:rPr>
          <w:spacing w:val="-9"/>
        </w:rPr>
        <w:t xml:space="preserve"> </w:t>
      </w:r>
      <w:r>
        <w:rPr>
          <w:b/>
          <w:bCs/>
          <w:spacing w:val="-9"/>
        </w:rPr>
        <w:t>失业与通货膨胀</w:t>
      </w:r>
    </w:p>
    <w:p>
      <w:pPr>
        <w:pStyle w:val="BodyText"/>
        <w:ind w:left="67"/>
        <w:spacing w:before="183" w:line="221" w:lineRule="auto"/>
        <w:rPr/>
      </w:pPr>
      <w:r>
        <w:rPr>
          <w:spacing w:val="-10"/>
        </w:rPr>
        <w:t>16.1</w:t>
      </w:r>
      <w:r>
        <w:rPr>
          <w:spacing w:val="22"/>
        </w:rPr>
        <w:t xml:space="preserve"> </w:t>
      </w:r>
      <w:r>
        <w:rPr>
          <w:spacing w:val="-10"/>
        </w:rPr>
        <w:t>失业</w:t>
      </w:r>
    </w:p>
    <w:p>
      <w:pPr>
        <w:pStyle w:val="BodyText"/>
        <w:ind w:left="67"/>
        <w:spacing w:before="178" w:line="219" w:lineRule="auto"/>
        <w:rPr/>
      </w:pPr>
      <w:r>
        <w:rPr>
          <w:spacing w:val="-4"/>
        </w:rPr>
        <w:t>16.2 通货膨胀概念、度量与分类</w:t>
      </w:r>
    </w:p>
    <w:p>
      <w:pPr>
        <w:pStyle w:val="BodyText"/>
        <w:ind w:left="67"/>
        <w:spacing w:before="184" w:line="219" w:lineRule="auto"/>
        <w:rPr/>
      </w:pPr>
      <w:r>
        <w:rPr>
          <w:spacing w:val="-4"/>
        </w:rPr>
        <w:t>16.3 通货膨胀的成因、影响与治理效应</w:t>
      </w:r>
    </w:p>
    <w:p>
      <w:pPr>
        <w:pStyle w:val="BodyText"/>
        <w:ind w:left="67"/>
        <w:spacing w:before="184" w:line="219" w:lineRule="auto"/>
        <w:rPr/>
      </w:pPr>
      <w:r>
        <w:rPr>
          <w:spacing w:val="-8"/>
        </w:rPr>
        <w:t>16.4</w:t>
      </w:r>
      <w:r>
        <w:rPr>
          <w:spacing w:val="35"/>
        </w:rPr>
        <w:t xml:space="preserve"> </w:t>
      </w:r>
      <w:r>
        <w:rPr>
          <w:spacing w:val="-8"/>
        </w:rPr>
        <w:t>菲利普斯曲线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67"/>
        <w:spacing w:before="79" w:line="219" w:lineRule="auto"/>
        <w:outlineLvl w:val="0"/>
        <w:rPr/>
      </w:pPr>
      <w:r>
        <w:rPr>
          <w:b/>
          <w:bCs/>
          <w:spacing w:val="-8"/>
        </w:rPr>
        <w:t>17</w:t>
      </w:r>
      <w:r>
        <w:rPr>
          <w:spacing w:val="-8"/>
        </w:rPr>
        <w:t xml:space="preserve"> </w:t>
      </w:r>
      <w:r>
        <w:rPr>
          <w:b/>
          <w:bCs/>
          <w:spacing w:val="-8"/>
        </w:rPr>
        <w:t>开放经济下的短期经济模型</w:t>
      </w:r>
    </w:p>
    <w:p>
      <w:pPr>
        <w:pStyle w:val="BodyText"/>
        <w:ind w:left="67"/>
        <w:spacing w:before="181" w:line="219" w:lineRule="auto"/>
        <w:rPr/>
      </w:pPr>
      <w:r>
        <w:rPr>
          <w:spacing w:val="-5"/>
        </w:rPr>
        <w:t>17.1 汇率和对外贸易</w:t>
      </w:r>
    </w:p>
    <w:p>
      <w:pPr>
        <w:pStyle w:val="BodyText"/>
        <w:ind w:left="67"/>
        <w:spacing w:before="183" w:line="219" w:lineRule="auto"/>
        <w:rPr/>
      </w:pPr>
      <w:r>
        <w:rPr>
          <w:spacing w:val="-4"/>
        </w:rPr>
        <w:t>17.2 蒙代尔-弗莱明模型</w:t>
      </w:r>
    </w:p>
    <w:p>
      <w:pPr>
        <w:pStyle w:val="BodyText"/>
        <w:ind w:left="67"/>
        <w:spacing w:before="183" w:line="220" w:lineRule="auto"/>
        <w:rPr/>
      </w:pPr>
      <w:r>
        <w:rPr>
          <w:spacing w:val="-4"/>
        </w:rPr>
        <w:t>17.3 南-北关系的经济分析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67"/>
        <w:spacing w:before="78" w:line="220" w:lineRule="auto"/>
        <w:outlineLvl w:val="0"/>
        <w:rPr/>
      </w:pPr>
      <w:r>
        <w:rPr>
          <w:b/>
          <w:bCs/>
          <w:spacing w:val="-8"/>
        </w:rPr>
        <w:t>18</w:t>
      </w:r>
      <w:r>
        <w:rPr>
          <w:spacing w:val="-8"/>
        </w:rPr>
        <w:t xml:space="preserve"> </w:t>
      </w:r>
      <w:r>
        <w:rPr>
          <w:b/>
          <w:bCs/>
          <w:spacing w:val="-8"/>
        </w:rPr>
        <w:t>经济增长和经济周期理论</w:t>
      </w:r>
    </w:p>
    <w:p>
      <w:pPr>
        <w:pStyle w:val="BodyText"/>
        <w:ind w:left="67"/>
        <w:spacing w:before="180" w:line="219" w:lineRule="auto"/>
        <w:rPr/>
      </w:pPr>
      <w:r>
        <w:rPr>
          <w:spacing w:val="-5"/>
        </w:rPr>
        <w:t>18.1 经济增长概述</w:t>
      </w:r>
    </w:p>
    <w:p>
      <w:pPr>
        <w:pStyle w:val="BodyText"/>
        <w:ind w:left="67"/>
        <w:spacing w:before="183" w:line="220" w:lineRule="auto"/>
        <w:rPr/>
      </w:pPr>
      <w:r>
        <w:rPr>
          <w:spacing w:val="-5"/>
        </w:rPr>
        <w:t>18.2 经济增长理论</w:t>
      </w:r>
    </w:p>
    <w:p>
      <w:pPr>
        <w:pStyle w:val="BodyText"/>
        <w:ind w:left="67"/>
        <w:spacing w:before="183" w:line="219" w:lineRule="auto"/>
        <w:rPr/>
      </w:pPr>
      <w:r>
        <w:rPr>
          <w:spacing w:val="-4"/>
        </w:rPr>
        <w:t>18.3 经济周期含义与特征</w:t>
      </w:r>
    </w:p>
    <w:p>
      <w:pPr>
        <w:pStyle w:val="BodyText"/>
        <w:ind w:left="67"/>
        <w:spacing w:before="183" w:line="220" w:lineRule="auto"/>
        <w:rPr/>
      </w:pPr>
      <w:r>
        <w:rPr>
          <w:spacing w:val="-4"/>
        </w:rPr>
        <w:t>18.4 实际经济周期(RBC)理论</w:t>
      </w:r>
    </w:p>
    <w:sectPr>
      <w:footerReference w:type="default" r:id="rId5"/>
      <w:pgSz w:w="11907" w:h="16840"/>
      <w:pgMar w:top="1431" w:right="1786" w:bottom="1133" w:left="1786" w:header="0" w:footer="97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8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建平 陶</dc:creator>
  <dcterms:created xsi:type="dcterms:W3CDTF">2024-10-08T10:18:22Z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2024-10-11T14:49:32</vt:filetime>
  </property>
</Properties>
</file>