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3DAAA">
      <w:pPr>
        <w:spacing w:line="240" w:lineRule="atLeast"/>
        <w:jc w:val="center"/>
        <w:outlineLvl w:val="0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b/>
          <w:bCs/>
          <w:sz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b/>
          <w:bCs/>
          <w:sz w:val="28"/>
        </w:rPr>
        <w:instrText xml:space="preserve">ADDIN CNKISM.UserStyle</w:instrText>
      </w:r>
      <w:r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r>
        <w:rPr>
          <w:rFonts w:hint="eastAsia"/>
          <w:b/>
          <w:bCs/>
          <w:sz w:val="28"/>
        </w:rPr>
        <w:drawing>
          <wp:inline distT="0" distB="0" distL="114300" distR="114300">
            <wp:extent cx="797560" cy="664845"/>
            <wp:effectExtent l="0" t="0" r="2540" b="190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44"/>
        </w:rPr>
        <w:t>浙 江 理 工 大 学</w:t>
      </w:r>
    </w:p>
    <w:p w14:paraId="7E6AF17B">
      <w:pPr>
        <w:spacing w:line="500" w:lineRule="exac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202</w:t>
      </w:r>
      <w:r>
        <w:rPr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年硕士学位研究生招生考试业务课考试大纲</w:t>
      </w:r>
    </w:p>
    <w:p w14:paraId="48DC8AE9">
      <w:pPr>
        <w:spacing w:line="500" w:lineRule="exact"/>
        <w:rPr>
          <w:rFonts w:hint="eastAsia"/>
          <w:b/>
          <w:bCs/>
          <w:u w:val="single"/>
        </w:rPr>
      </w:pP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考试科目：风景园林基础            代码：344             </w:t>
      </w:r>
      <w:r>
        <w:rPr>
          <w:rFonts w:hint="eastAsia"/>
          <w:b/>
          <w:bCs/>
          <w:u w:val="single"/>
        </w:rPr>
        <w:t xml:space="preserve">      </w:t>
      </w:r>
    </w:p>
    <w:p w14:paraId="4BA9EA4F">
      <w:pPr>
        <w:numPr>
          <w:ilvl w:val="0"/>
          <w:numId w:val="1"/>
        </w:numPr>
        <w:tabs>
          <w:tab w:val="left" w:pos="480"/>
        </w:tabs>
        <w:spacing w:line="360" w:lineRule="auto"/>
        <w:ind w:left="482" w:hanging="482"/>
        <w:rPr>
          <w:rFonts w:ascii="Arial" w:hAnsi="Arial" w:cs="Arial"/>
          <w:color w:val="333333"/>
          <w:szCs w:val="21"/>
        </w:rPr>
      </w:pPr>
      <w:r>
        <w:rPr>
          <w:rFonts w:hint="eastAsia"/>
          <w:b/>
          <w:bCs/>
          <w:sz w:val="24"/>
          <w:szCs w:val="21"/>
        </w:rPr>
        <w:t>考试大纲性质：</w:t>
      </w:r>
    </w:p>
    <w:p w14:paraId="00101627">
      <w:pPr>
        <w:pStyle w:val="6"/>
        <w:adjustRightInd w:val="0"/>
        <w:spacing w:line="360" w:lineRule="auto"/>
        <w:contextualSpacing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本考试科目是为风景园林硕士专业学位研究生而设置的选拔性考试，旨在测试考生对风景园林学基本概念、基础理论、历史沿革、相关基本技能的掌握程度和应用相关知识解决问题的能力。要求考生具有风景园林专业扎实的基础理论、宽广的专业知识、正确的生态观、历史观、社会观、艺术观；较强的分析和解决专业问题的能力和创新能力以及一定的国际视野。适用于报考浙江理工大学风景园林专业硕士研究生的考生。</w:t>
      </w:r>
    </w:p>
    <w:p w14:paraId="1319AA9F">
      <w:pPr>
        <w:tabs>
          <w:tab w:val="left" w:pos="480"/>
        </w:tabs>
        <w:spacing w:line="360" w:lineRule="auto"/>
        <w:rPr>
          <w:b/>
          <w:bCs/>
          <w:szCs w:val="21"/>
        </w:rPr>
      </w:pPr>
    </w:p>
    <w:p w14:paraId="5B94F6A6">
      <w:pPr>
        <w:numPr>
          <w:ilvl w:val="0"/>
          <w:numId w:val="1"/>
        </w:numPr>
        <w:tabs>
          <w:tab w:val="left" w:pos="480"/>
        </w:tabs>
        <w:spacing w:line="360" w:lineRule="auto"/>
        <w:ind w:left="482" w:hanging="482"/>
        <w:rPr>
          <w:b/>
          <w:bCs/>
          <w:szCs w:val="21"/>
        </w:rPr>
      </w:pPr>
      <w:r>
        <w:rPr>
          <w:rFonts w:hint="eastAsia"/>
          <w:b/>
          <w:bCs/>
          <w:sz w:val="24"/>
          <w:szCs w:val="21"/>
        </w:rPr>
        <w:t>考试内容</w:t>
      </w:r>
    </w:p>
    <w:p w14:paraId="32A7D88A">
      <w:pPr>
        <w:spacing w:line="360" w:lineRule="auto"/>
        <w:rPr>
          <w:bCs/>
          <w:szCs w:val="21"/>
        </w:rPr>
      </w:pPr>
      <w:r>
        <w:rPr>
          <w:rFonts w:hint="eastAsia"/>
          <w:bCs/>
          <w:szCs w:val="21"/>
        </w:rPr>
        <w:t xml:space="preserve"> </w:t>
      </w:r>
      <w:r>
        <w:rPr>
          <w:bCs/>
          <w:szCs w:val="21"/>
        </w:rPr>
        <w:t xml:space="preserve">   </w:t>
      </w:r>
      <w:r>
        <w:rPr>
          <w:rFonts w:hint="eastAsia" w:ascii="宋体" w:hAnsi="宋体"/>
          <w:bCs/>
          <w:sz w:val="24"/>
        </w:rPr>
        <w:t>根据教育部的有关要求和风景园林专业的教学实际需求，本科目侧重于风景园林基础理论知识的考查。考试内容主要涵盖风景园林历史与理论、城市绿地规划设计及园林工程设计等方面内容。要求考生理解和掌握风景园林基本概念、基础理论和基本技能，并能综合运用上述知识分析、判断和解决有关实际问题。</w:t>
      </w:r>
    </w:p>
    <w:p w14:paraId="005CDDDB">
      <w:pPr>
        <w:tabs>
          <w:tab w:val="left" w:pos="480"/>
        </w:tabs>
        <w:spacing w:line="360" w:lineRule="auto"/>
        <w:ind w:firstLine="420"/>
        <w:rPr>
          <w:rFonts w:hint="eastAsia"/>
          <w:bCs/>
          <w:szCs w:val="21"/>
        </w:rPr>
      </w:pPr>
      <w:r>
        <w:rPr>
          <w:rFonts w:hint="eastAsia" w:ascii="宋体" w:hAnsi="宋体"/>
          <w:bCs/>
          <w:sz w:val="24"/>
        </w:rPr>
        <w:t>考试涉及具体范围如下：</w:t>
      </w:r>
    </w:p>
    <w:p w14:paraId="6AFCC9CE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（一）中外</w:t>
      </w:r>
      <w:r>
        <w:rPr>
          <w:b/>
          <w:bCs/>
          <w:szCs w:val="21"/>
        </w:rPr>
        <w:t>园林历史</w:t>
      </w:r>
    </w:p>
    <w:p w14:paraId="233C6464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中国园林史部分：</w:t>
      </w:r>
    </w:p>
    <w:p w14:paraId="28AAB92F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1、绪论</w:t>
      </w:r>
    </w:p>
    <w:p w14:paraId="10B38F3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（1）中国古典园林发展的自然背景和人文背景</w:t>
      </w:r>
    </w:p>
    <w:p w14:paraId="28502F88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（2）中国古典园林的类型、分期以及中国古典园林的特点</w:t>
      </w:r>
    </w:p>
    <w:p w14:paraId="2349C963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2、园林的生成期</w:t>
      </w:r>
    </w:p>
    <w:p w14:paraId="44C9085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（1）中国古典园林的起源</w:t>
      </w:r>
    </w:p>
    <w:p w14:paraId="55A0284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（2）商、周、秦园林概况及代表性实例</w:t>
      </w:r>
    </w:p>
    <w:p w14:paraId="70BBD2CF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（3）西汉、东汉的皇家园林概况及代表性实例</w:t>
      </w:r>
    </w:p>
    <w:p w14:paraId="13FBA96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（4）汉代的私家园林概况及代表性实例</w:t>
      </w:r>
    </w:p>
    <w:p w14:paraId="742B78AF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（5）园林的生成期的特点</w:t>
      </w:r>
    </w:p>
    <w:p w14:paraId="3EB84A65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3、园林的转折期</w:t>
      </w:r>
    </w:p>
    <w:p w14:paraId="5CC77F2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（1）魏晋南北朝时期的皇家园林及代表性实例</w:t>
      </w:r>
    </w:p>
    <w:p w14:paraId="288857CE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（2）魏晋南北朝时期的私家园林及代表性实例</w:t>
      </w:r>
    </w:p>
    <w:p w14:paraId="481B050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（3）魏晋南北朝时期的寺观园林</w:t>
      </w:r>
    </w:p>
    <w:p w14:paraId="6E2F461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（4）魏晋南北朝时期的其他园林</w:t>
      </w:r>
    </w:p>
    <w:p w14:paraId="7F463A1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（5）园林的转折期的特点</w:t>
      </w:r>
    </w:p>
    <w:p w14:paraId="71F24073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4、园林的全盛期</w:t>
      </w:r>
    </w:p>
    <w:p w14:paraId="5EFBFC73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（1）隋唐时期的皇家园林及代表性实例</w:t>
      </w:r>
    </w:p>
    <w:p w14:paraId="4C8E98F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（2）隋唐时期的私家园林及代表性实例</w:t>
      </w:r>
    </w:p>
    <w:p w14:paraId="30D2EC0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（3）隋唐时期的寺观园林</w:t>
      </w:r>
    </w:p>
    <w:p w14:paraId="391A7B6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（4）隋唐时期的其他园林</w:t>
      </w:r>
    </w:p>
    <w:p w14:paraId="60B4424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（5）园林的全盛期的特点</w:t>
      </w:r>
    </w:p>
    <w:p w14:paraId="0D9E67AD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5、园林的成熟期（一）</w:t>
      </w:r>
    </w:p>
    <w:p w14:paraId="1E97E9C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（1）宋代皇家园林及代表性实例</w:t>
      </w:r>
    </w:p>
    <w:p w14:paraId="4470A38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（2）宋代私家园林及代表性实例</w:t>
      </w:r>
    </w:p>
    <w:p w14:paraId="1C34980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（3）宋代寺观园林</w:t>
      </w:r>
    </w:p>
    <w:p w14:paraId="0E1413F6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（4）宋代其他园林</w:t>
      </w:r>
    </w:p>
    <w:p w14:paraId="5BD805D0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（5）辽、金园林概况</w:t>
      </w:r>
    </w:p>
    <w:p w14:paraId="1702EDB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（6）宋代园林的特点</w:t>
      </w:r>
    </w:p>
    <w:p w14:paraId="7899511A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6、园林的成熟期（二）</w:t>
      </w:r>
    </w:p>
    <w:p w14:paraId="4FF18DC8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（1）元、明、清初皇家园林及代表性实例</w:t>
      </w:r>
    </w:p>
    <w:p w14:paraId="01FCD5D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（2）元、明、清初私家园林及代表性实例</w:t>
      </w:r>
    </w:p>
    <w:p w14:paraId="064B1EC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（3）元、明、清初寺观园林</w:t>
      </w:r>
    </w:p>
    <w:p w14:paraId="2A429ED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（4）元、明、清初其他园林</w:t>
      </w:r>
    </w:p>
    <w:p w14:paraId="6475DE8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（5）元、明、清初的造园家、造园理论著作</w:t>
      </w:r>
    </w:p>
    <w:p w14:paraId="0D7D03A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（6）元、明、清初园林的特点</w:t>
      </w:r>
    </w:p>
    <w:p w14:paraId="5C05DA91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7、园林的成熟后期</w:t>
      </w:r>
    </w:p>
    <w:p w14:paraId="13E2E5E4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（1）清中叶及清末皇家园林及代表性实例</w:t>
      </w:r>
    </w:p>
    <w:p w14:paraId="5CF5E49E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（2）清中叶及清末私家园林及代表性实例</w:t>
      </w:r>
    </w:p>
    <w:p w14:paraId="446DA1B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（3）清中叶及清末寺观园林</w:t>
      </w:r>
    </w:p>
    <w:p w14:paraId="1E7D1AD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（4）清中叶及清末其他园林</w:t>
      </w:r>
    </w:p>
    <w:p w14:paraId="6E20F27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（5）清中叶及清末的少数民族园林及代表性实例</w:t>
      </w:r>
    </w:p>
    <w:p w14:paraId="047A42E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 xml:space="preserve">（6）园林的成熟后期的特点     </w:t>
      </w:r>
    </w:p>
    <w:p w14:paraId="17C2D584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8、结语</w:t>
      </w:r>
    </w:p>
    <w:p w14:paraId="4CC13FA4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（1）中国古典园林发展的脉络</w:t>
      </w:r>
    </w:p>
    <w:p w14:paraId="115078A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（2）中国古典园林的本质</w:t>
      </w:r>
    </w:p>
    <w:p w14:paraId="2F6406BC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西方园林史部分：</w:t>
      </w:r>
    </w:p>
    <w:p w14:paraId="0BBBBA94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1、古代园林</w:t>
      </w:r>
    </w:p>
    <w:p w14:paraId="6BFC7D0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（1）西方园林的起源和园林的基本概念</w:t>
      </w:r>
    </w:p>
    <w:p w14:paraId="609A0EA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（2）古埃及园林概况、类型、特征</w:t>
      </w:r>
    </w:p>
    <w:p w14:paraId="5D271CBE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（3）古巴比伦园林概况、类型、特征</w:t>
      </w:r>
    </w:p>
    <w:p w14:paraId="44037FA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（4）古希腊园林概况、类型、特征</w:t>
      </w:r>
    </w:p>
    <w:p w14:paraId="0FEC71C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（5）古罗马园林特征、类型、特征</w:t>
      </w:r>
    </w:p>
    <w:p w14:paraId="657E957E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（6）古罗马园林案例：庞贝古城、托斯卡那庄园、哈德良山庄、古罗马遗址等</w:t>
      </w:r>
    </w:p>
    <w:p w14:paraId="0DE8CF78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2、中世纪和文艺复兴园林 </w:t>
      </w:r>
    </w:p>
    <w:p w14:paraId="7040902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（1）中世纪欧洲园林发展情况和主要园林类型（寺院庭园和城堡庭园）</w:t>
      </w:r>
    </w:p>
    <w:p w14:paraId="3E690E4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（2）文艺复兴运动概况</w:t>
      </w:r>
    </w:p>
    <w:p w14:paraId="58DCD58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（3）文艺复兴初期园林概况</w:t>
      </w:r>
    </w:p>
    <w:p w14:paraId="3BAD062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（4）文艺复兴初期园林实例：卡雷吉奥庄园、卡法吉奥罗庄园、波吉奥庄园、菲索埃罗的美第奇庄园</w:t>
      </w:r>
    </w:p>
    <w:p w14:paraId="670EB7E3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（5）文艺复兴初期园林特征</w:t>
      </w:r>
    </w:p>
    <w:p w14:paraId="3FF65CC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（6）文艺复兴中期园林概况</w:t>
      </w:r>
    </w:p>
    <w:p w14:paraId="3FFD7ACF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（7）文艺复兴中期园林实例：望景楼园、玛达玛庄园、罗马美第奇庄园、法尔奈斯庄园、埃斯特庄园、兰特庄园、卡斯特罗庄园、波波里花园</w:t>
      </w:r>
    </w:p>
    <w:p w14:paraId="167E7D7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（8）文艺复兴中期意大利庄园特征</w:t>
      </w:r>
    </w:p>
    <w:p w14:paraId="3C49D34E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（9）文艺复兴后期的意大利庄园概况及特征</w:t>
      </w:r>
    </w:p>
    <w:p w14:paraId="793E7083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（10）意大利台地园的特征</w:t>
      </w:r>
    </w:p>
    <w:p w14:paraId="32B9760F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（11）15-16世纪文艺复兴时期意大利园林的兴起、形式、造园要素及其对西欧的影响</w:t>
      </w:r>
    </w:p>
    <w:p w14:paraId="1EAB91DD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3、古典主义园林 </w:t>
      </w:r>
    </w:p>
    <w:p w14:paraId="1B265CF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（1）法国文艺复兴时期园林实例：谢农索府邸花园、卢森堡花园、维兰德里花园</w:t>
      </w:r>
    </w:p>
    <w:p w14:paraId="45414F88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（2）法国古典主义园林产生的背景、造园特征、造园要素</w:t>
      </w:r>
    </w:p>
    <w:p w14:paraId="2ABD9C97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（3）法国古典主义园林代表作沃-勒-维贡特</w:t>
      </w:r>
    </w:p>
    <w:p w14:paraId="6D0B6E64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（4）法国古典主义园林实例：凡尔赛宫苑、特里阿农宫苑、尚蒂伊府邸花园、丢勒里宫苑、索园</w:t>
      </w:r>
    </w:p>
    <w:p w14:paraId="74C91F8B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4、自然风景式园林</w:t>
      </w:r>
    </w:p>
    <w:p w14:paraId="3F6E7BB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（1）英国规则式园林概况</w:t>
      </w:r>
    </w:p>
    <w:p w14:paraId="7251E3C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（2）英国规则式园林实例——汉普顿宫苑</w:t>
      </w:r>
    </w:p>
    <w:p w14:paraId="231A8B93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（3）英国风景园的成因</w:t>
      </w:r>
    </w:p>
    <w:p w14:paraId="6F633DE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（4）英国风景园实例：查兹沃斯风景园、霍华德庄园、布伦海姆宫苑、斯陀园、斯托海德风景园、邱园、尼曼斯花园</w:t>
      </w:r>
    </w:p>
    <w:p w14:paraId="23CC05F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（5）英国自然风景式园林的特征</w:t>
      </w:r>
    </w:p>
    <w:p w14:paraId="7B681DD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（6）法国英中式园林</w:t>
      </w:r>
    </w:p>
    <w:p w14:paraId="09F7EA3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（7）法国英中式园林实例：艾麦农维尔园、特里阿侬王后花园、麦莱维尔园、莱兹荒漠园</w:t>
      </w:r>
    </w:p>
    <w:p w14:paraId="730E0CB8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5、19世纪城市公园</w:t>
      </w:r>
    </w:p>
    <w:p w14:paraId="0D3FBE5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（1）城市公园兴起的原因</w:t>
      </w:r>
    </w:p>
    <w:p w14:paraId="2B3515E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（2）欧美城市公园实例</w:t>
      </w:r>
    </w:p>
    <w:p w14:paraId="707C65FE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6、现代园林发展趋势</w:t>
      </w:r>
    </w:p>
    <w:p w14:paraId="5D0EBAF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（1）20世纪西方园林发展概况</w:t>
      </w:r>
    </w:p>
    <w:p w14:paraId="58A32C46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（2）具有国际影响力的代表作品：拉维莱特公园、雪铁龙公园等</w:t>
      </w:r>
    </w:p>
    <w:p w14:paraId="1D119557">
      <w:pPr>
        <w:spacing w:line="360" w:lineRule="auto"/>
        <w:ind w:firstLine="420" w:firstLineChars="200"/>
        <w:rPr>
          <w:rFonts w:hint="eastAsia" w:ascii="ˎ̥" w:hAnsi="ˎ̥" w:cs="宋体"/>
          <w:color w:val="000000"/>
          <w:kern w:val="0"/>
          <w:szCs w:val="21"/>
        </w:rPr>
      </w:pPr>
    </w:p>
    <w:p w14:paraId="77974B45"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（二）城市园林绿地规划</w:t>
      </w:r>
    </w:p>
    <w:p w14:paraId="4C1CD75A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1、城市规划相关知识城市的产生、概念、功能与城市问题</w:t>
      </w:r>
    </w:p>
    <w:p w14:paraId="6F6E32C0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（1）城市规划基本原理</w:t>
      </w:r>
    </w:p>
    <w:p w14:paraId="544B2F53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2、城市绿地发展历程</w:t>
      </w:r>
    </w:p>
    <w:p w14:paraId="7E9DB1A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（1）国外近现代城市绿地发展演进</w:t>
      </w:r>
    </w:p>
    <w:p w14:paraId="3B2059D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（2）我国城市绿地建设状况</w:t>
      </w:r>
    </w:p>
    <w:p w14:paraId="45510E93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 xml:space="preserve">3、城市绿地的功能 </w:t>
      </w:r>
    </w:p>
    <w:p w14:paraId="29D8FED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（1）城市绿地改善城市生态环境的功能</w:t>
      </w:r>
    </w:p>
    <w:p w14:paraId="0465CBB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（2）城市绿地的文教、游憩功能</w:t>
      </w:r>
    </w:p>
    <w:p w14:paraId="3835C80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（3）城市绿地的景观功能</w:t>
      </w:r>
    </w:p>
    <w:p w14:paraId="7732B5D6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（4）城市绿地的保护、延续、展示城市文脉的功能</w:t>
      </w:r>
    </w:p>
    <w:p w14:paraId="58960B35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4、城市绿地的分类</w:t>
      </w:r>
    </w:p>
    <w:p w14:paraId="32A066C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（1）城市绿地分类的依据</w:t>
      </w:r>
    </w:p>
    <w:p w14:paraId="6A104F5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（2）城市绿地分类与国内外相关分类的比较与分析</w:t>
      </w:r>
    </w:p>
    <w:p w14:paraId="2DA5B54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（3）城市绿地分类及其特征</w:t>
      </w:r>
    </w:p>
    <w:p w14:paraId="0C18B998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（4）城市绿地分类相关术语详解</w:t>
      </w:r>
    </w:p>
    <w:p w14:paraId="60E318AD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5、城市绿地的指标</w:t>
      </w:r>
    </w:p>
    <w:p w14:paraId="1F2851F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（1）城市绿地指标的作用及制定依据</w:t>
      </w:r>
    </w:p>
    <w:p w14:paraId="56A55C1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（2）我国现有的城市绿地指标种类及其规定</w:t>
      </w:r>
    </w:p>
    <w:p w14:paraId="1710019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（3）城市绿地指标统计、计算方法</w:t>
      </w:r>
    </w:p>
    <w:p w14:paraId="2BADB4A9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6、城市绿地系统布局</w:t>
      </w:r>
    </w:p>
    <w:p w14:paraId="396F86F4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（1）城市绿地系统布局原则</w:t>
      </w:r>
    </w:p>
    <w:p w14:paraId="1DE8DB07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（2）城市绿地系统的布局结构及其与城市空间的关系</w:t>
      </w:r>
    </w:p>
    <w:p w14:paraId="239B78D4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（3）城市各类绿地的用地选择</w:t>
      </w:r>
    </w:p>
    <w:p w14:paraId="6521DA24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7、城市绿地系统规划</w:t>
      </w:r>
    </w:p>
    <w:p w14:paraId="6C9A6D88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（1）城市绿地系统规划的任务</w:t>
      </w:r>
    </w:p>
    <w:p w14:paraId="5696B5F4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（2）城市绿地系统规划的程序</w:t>
      </w:r>
    </w:p>
    <w:p w14:paraId="7FDA084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（3）城市绿地系统规划的层次</w:t>
      </w:r>
    </w:p>
    <w:p w14:paraId="205DA7C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（4）城市绿地系统规划的工作内容</w:t>
      </w:r>
    </w:p>
    <w:p w14:paraId="488B2134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8、各类绿地规划</w:t>
      </w:r>
    </w:p>
    <w:p w14:paraId="26189E67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（1）城市公园的基本功能和活动内容</w:t>
      </w:r>
    </w:p>
    <w:p w14:paraId="3A751DB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（2）居住区规划的基础知识；居住区绿地的功能作用，类型及设计要求</w:t>
      </w:r>
    </w:p>
    <w:p w14:paraId="7D3711C7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（3）道路绿化的意义及作用；城市道路绿地的概念、构成及绿化设计要求</w:t>
      </w:r>
    </w:p>
    <w:p w14:paraId="3D6E720F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（4）单位附属绿地的类型及规划要点</w:t>
      </w:r>
    </w:p>
    <w:p w14:paraId="1D3EFFAD">
      <w:pPr>
        <w:spacing w:line="360" w:lineRule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（三）园林工程设计</w:t>
      </w:r>
    </w:p>
    <w:p w14:paraId="010E5F25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1、地形景观工程设计</w:t>
      </w:r>
    </w:p>
    <w:p w14:paraId="29CA2D83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（1）概述</w:t>
      </w:r>
    </w:p>
    <w:p w14:paraId="48617AA3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（2）地形景观分析与评定</w:t>
      </w:r>
    </w:p>
    <w:p w14:paraId="5293104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（3）地形景观工程设计</w:t>
      </w:r>
    </w:p>
    <w:p w14:paraId="70DF7E80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（4）土方工程与土方施工</w:t>
      </w:r>
    </w:p>
    <w:p w14:paraId="3713CC12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2、园林道路工程设计</w:t>
      </w:r>
    </w:p>
    <w:p w14:paraId="791EB85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（1）概述</w:t>
      </w:r>
    </w:p>
    <w:p w14:paraId="5576FB4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（2）道路断面与平面线型设计</w:t>
      </w:r>
    </w:p>
    <w:p w14:paraId="4955663F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（3）结构设计</w:t>
      </w:r>
    </w:p>
    <w:p w14:paraId="330DF119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（4）铺地设计</w:t>
      </w:r>
    </w:p>
    <w:p w14:paraId="0118905D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（5）园路施工</w:t>
      </w:r>
    </w:p>
    <w:p w14:paraId="425100EC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3、园林给排水工程设计</w:t>
      </w:r>
    </w:p>
    <w:p w14:paraId="6C61C7BA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（1）园林给水工程设计</w:t>
      </w:r>
    </w:p>
    <w:p w14:paraId="0EC2AA67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（2）园林排水工程设计</w:t>
      </w:r>
    </w:p>
    <w:p w14:paraId="3472B949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4、园林供电与照明工程设计</w:t>
      </w:r>
    </w:p>
    <w:p w14:paraId="71BD5FF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（1）供电与照明的基本知识</w:t>
      </w:r>
    </w:p>
    <w:p w14:paraId="3A296C2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（2）园林供电工程设计</w:t>
      </w:r>
    </w:p>
    <w:p w14:paraId="55C0E220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（3）园林照明工程设计</w:t>
      </w:r>
    </w:p>
    <w:p w14:paraId="5ED96696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5、水体景观工程设计</w:t>
      </w:r>
    </w:p>
    <w:p w14:paraId="1A1538B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（1）水景概述</w:t>
      </w:r>
    </w:p>
    <w:p w14:paraId="04B12A05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（2）水景工程设计</w:t>
      </w:r>
    </w:p>
    <w:p w14:paraId="4D81132B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（4）水景工程构筑物设计</w:t>
      </w:r>
    </w:p>
    <w:p w14:paraId="45069DF6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Cs w:val="21"/>
        </w:rPr>
        <w:t>6、山石景观工程设计</w:t>
      </w:r>
    </w:p>
    <w:p w14:paraId="0D2C1D81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（1）概述</w:t>
      </w:r>
    </w:p>
    <w:p w14:paraId="6A9042AC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（2）景观山石的材料与特征</w:t>
      </w:r>
    </w:p>
    <w:p w14:paraId="40FC3487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（3）假山景观工程设计</w:t>
      </w:r>
    </w:p>
    <w:p w14:paraId="41985F1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（4）置石与砌石景观工程设计</w:t>
      </w:r>
    </w:p>
    <w:p w14:paraId="29FED482">
      <w:pPr>
        <w:spacing w:line="360" w:lineRule="auto"/>
        <w:ind w:firstLine="630" w:firstLineChars="300"/>
        <w:rPr>
          <w:rFonts w:hint="eastAsia"/>
          <w:szCs w:val="21"/>
        </w:rPr>
      </w:pPr>
      <w:r>
        <w:rPr>
          <w:rFonts w:hint="eastAsia"/>
          <w:szCs w:val="21"/>
        </w:rPr>
        <w:t>（5）塑山与塑石景观工程设计</w:t>
      </w:r>
    </w:p>
    <w:p w14:paraId="494D3644"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</w:t>
      </w:r>
      <w:r>
        <w:rPr>
          <w:szCs w:val="21"/>
        </w:rPr>
        <w:t>园林建筑</w:t>
      </w:r>
      <w:r>
        <w:rPr>
          <w:rFonts w:hint="eastAsia"/>
          <w:szCs w:val="21"/>
        </w:rPr>
        <w:t>与</w:t>
      </w:r>
      <w:r>
        <w:rPr>
          <w:szCs w:val="21"/>
        </w:rPr>
        <w:t>构筑物工程</w:t>
      </w:r>
      <w:r>
        <w:rPr>
          <w:rFonts w:hint="eastAsia"/>
          <w:szCs w:val="21"/>
        </w:rPr>
        <w:t>设计</w:t>
      </w:r>
    </w:p>
    <w:p w14:paraId="56F11F30">
      <w:pPr>
        <w:spacing w:line="360" w:lineRule="auto"/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（1）</w:t>
      </w:r>
      <w:r>
        <w:rPr>
          <w:szCs w:val="21"/>
        </w:rPr>
        <w:t>园林建筑与构筑物的类型与特征</w:t>
      </w:r>
    </w:p>
    <w:p w14:paraId="562485C7">
      <w:pPr>
        <w:spacing w:line="360" w:lineRule="auto"/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中国传统园林建筑</w:t>
      </w:r>
    </w:p>
    <w:p w14:paraId="63235694">
      <w:pPr>
        <w:spacing w:line="360" w:lineRule="auto"/>
        <w:ind w:left="840" w:leftChars="300" w:hanging="210" w:hangingChars="100"/>
        <w:rPr>
          <w:rFonts w:hint="eastAsia"/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>常见风景园林建筑与构筑物设计</w:t>
      </w:r>
    </w:p>
    <w:p w14:paraId="408AF817">
      <w:pPr>
        <w:spacing w:line="360" w:lineRule="auto"/>
        <w:ind w:firstLine="630" w:firstLineChars="300"/>
        <w:rPr>
          <w:rFonts w:hint="eastAsia"/>
          <w:szCs w:val="21"/>
        </w:rPr>
      </w:pPr>
    </w:p>
    <w:p w14:paraId="363CDD6D">
      <w:pPr>
        <w:spacing w:line="360" w:lineRule="auto"/>
        <w:rPr>
          <w:i/>
          <w:szCs w:val="21"/>
        </w:rPr>
      </w:pPr>
      <w:r>
        <w:rPr>
          <w:rFonts w:hint="eastAsia"/>
          <w:b/>
          <w:bCs/>
          <w:szCs w:val="21"/>
        </w:rPr>
        <w:t>（四）园林规划设计分析：</w:t>
      </w:r>
    </w:p>
    <w:p w14:paraId="50B3A027"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针对城市中园林场地进行概念性分析与规划设计，包括各类城市绿地与开放空间等类型。场地面积以当年试题具体要求为准。具体内容为能够反映考生分析能力、设计能力和培养潜力的综合性设计，包括但不限于设计概念生成、方案形式演化、总平面图、分析图、简要设计说明等内容。图纸要求和绘图表现形式以考试题目要求为准。</w:t>
      </w:r>
    </w:p>
    <w:p w14:paraId="363929F4">
      <w:pPr>
        <w:spacing w:line="360" w:lineRule="auto"/>
        <w:ind w:firstLine="630" w:firstLineChars="300"/>
        <w:rPr>
          <w:rFonts w:hint="eastAsia"/>
          <w:szCs w:val="21"/>
        </w:rPr>
      </w:pPr>
    </w:p>
    <w:p w14:paraId="0BE2EB4D">
      <w:pPr>
        <w:numPr>
          <w:ilvl w:val="0"/>
          <w:numId w:val="1"/>
        </w:numPr>
        <w:tabs>
          <w:tab w:val="left" w:pos="480"/>
        </w:tabs>
        <w:spacing w:line="360" w:lineRule="auto"/>
        <w:ind w:left="482" w:hanging="482"/>
        <w:rPr>
          <w:b/>
          <w:bCs/>
          <w:sz w:val="24"/>
          <w:szCs w:val="21"/>
        </w:rPr>
      </w:pPr>
      <w:r>
        <w:rPr>
          <w:rFonts w:hint="eastAsia"/>
          <w:b/>
          <w:bCs/>
          <w:sz w:val="24"/>
          <w:szCs w:val="21"/>
        </w:rPr>
        <w:t>题型比例</w:t>
      </w:r>
    </w:p>
    <w:p w14:paraId="4758B2AD">
      <w:pPr>
        <w:spacing w:line="360" w:lineRule="auto"/>
        <w:ind w:firstLine="42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（1）名词解释20分</w:t>
      </w:r>
    </w:p>
    <w:p w14:paraId="1AE483F7">
      <w:pPr>
        <w:spacing w:line="360" w:lineRule="auto"/>
        <w:ind w:firstLine="42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（2）</w:t>
      </w:r>
      <w:r>
        <w:rPr>
          <w:sz w:val="24"/>
          <w:szCs w:val="21"/>
        </w:rPr>
        <w:t>填空题</w:t>
      </w:r>
      <w:r>
        <w:rPr>
          <w:rFonts w:hint="eastAsia"/>
          <w:sz w:val="24"/>
          <w:szCs w:val="21"/>
        </w:rPr>
        <w:t>2</w:t>
      </w:r>
      <w:r>
        <w:rPr>
          <w:sz w:val="24"/>
          <w:szCs w:val="21"/>
        </w:rPr>
        <w:t>0</w:t>
      </w:r>
      <w:r>
        <w:rPr>
          <w:rFonts w:hint="eastAsia"/>
          <w:sz w:val="24"/>
          <w:szCs w:val="21"/>
        </w:rPr>
        <w:t>分</w:t>
      </w:r>
    </w:p>
    <w:p w14:paraId="7B562DD9">
      <w:pPr>
        <w:spacing w:line="360" w:lineRule="auto"/>
        <w:ind w:firstLine="420"/>
        <w:rPr>
          <w:sz w:val="24"/>
          <w:szCs w:val="21"/>
        </w:rPr>
      </w:pPr>
      <w:r>
        <w:rPr>
          <w:rFonts w:hint="eastAsia"/>
          <w:sz w:val="24"/>
          <w:szCs w:val="21"/>
        </w:rPr>
        <w:t>（3）选择题</w:t>
      </w: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0分</w:t>
      </w:r>
    </w:p>
    <w:p w14:paraId="66224480">
      <w:pPr>
        <w:spacing w:line="360" w:lineRule="auto"/>
        <w:ind w:firstLine="420"/>
        <w:rPr>
          <w:rFonts w:hint="eastAsia"/>
          <w:sz w:val="24"/>
          <w:szCs w:val="21"/>
        </w:rPr>
      </w:pPr>
      <w:r>
        <w:rPr>
          <w:rFonts w:hint="eastAsia"/>
          <w:sz w:val="24"/>
          <w:szCs w:val="21"/>
        </w:rPr>
        <w:t>（</w:t>
      </w: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）简答题</w:t>
      </w:r>
      <w:r>
        <w:rPr>
          <w:sz w:val="24"/>
          <w:szCs w:val="21"/>
        </w:rPr>
        <w:t>30</w:t>
      </w:r>
      <w:r>
        <w:rPr>
          <w:rFonts w:hint="eastAsia"/>
          <w:sz w:val="24"/>
          <w:szCs w:val="21"/>
        </w:rPr>
        <w:t>分</w:t>
      </w:r>
    </w:p>
    <w:p w14:paraId="67400171">
      <w:pPr>
        <w:spacing w:line="360" w:lineRule="auto"/>
        <w:ind w:firstLine="420"/>
        <w:rPr>
          <w:rFonts w:hint="eastAsia"/>
          <w:szCs w:val="21"/>
        </w:rPr>
      </w:pPr>
      <w:r>
        <w:rPr>
          <w:rFonts w:hint="eastAsia"/>
          <w:sz w:val="24"/>
          <w:szCs w:val="21"/>
        </w:rPr>
        <w:t>（</w:t>
      </w: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）设计题</w:t>
      </w:r>
      <w:r>
        <w:rPr>
          <w:sz w:val="24"/>
          <w:szCs w:val="21"/>
        </w:rPr>
        <w:t>50</w:t>
      </w:r>
      <w:r>
        <w:rPr>
          <w:rFonts w:hint="eastAsia"/>
          <w:sz w:val="24"/>
          <w:szCs w:val="21"/>
        </w:rPr>
        <w:t>分</w:t>
      </w:r>
    </w:p>
    <w:p w14:paraId="33D3E0AA">
      <w:pPr>
        <w:numPr>
          <w:ilvl w:val="0"/>
          <w:numId w:val="1"/>
        </w:numPr>
        <w:tabs>
          <w:tab w:val="left" w:pos="480"/>
        </w:tabs>
        <w:spacing w:line="360" w:lineRule="auto"/>
        <w:ind w:left="482" w:hanging="482"/>
        <w:rPr>
          <w:rFonts w:ascii="Arial" w:hAnsi="Arial" w:cs="Arial"/>
          <w:b/>
          <w:color w:val="333333"/>
          <w:sz w:val="24"/>
          <w:szCs w:val="21"/>
        </w:rPr>
      </w:pPr>
      <w:r>
        <w:rPr>
          <w:rFonts w:hint="eastAsia" w:ascii="Arial" w:hAnsi="Arial" w:cs="Arial"/>
          <w:b/>
          <w:color w:val="333333"/>
          <w:sz w:val="24"/>
          <w:szCs w:val="21"/>
        </w:rPr>
        <w:t>考试方式与考试时间</w:t>
      </w:r>
    </w:p>
    <w:p w14:paraId="718AF51C">
      <w:pPr>
        <w:tabs>
          <w:tab w:val="left" w:pos="480"/>
        </w:tabs>
        <w:spacing w:line="360" w:lineRule="auto"/>
        <w:ind w:left="482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 w:val="24"/>
          <w:szCs w:val="21"/>
        </w:rPr>
        <w:t>考试方式为闭卷、笔试，</w:t>
      </w:r>
      <w:r>
        <w:rPr>
          <w:rFonts w:hint="eastAsia" w:ascii="Arial" w:hAnsi="Arial" w:cs="Arial"/>
          <w:color w:val="auto"/>
          <w:sz w:val="24"/>
          <w:szCs w:val="21"/>
        </w:rPr>
        <w:t>时间为</w:t>
      </w:r>
      <w:r>
        <w:rPr>
          <w:rFonts w:ascii="Arial" w:hAnsi="Arial" w:cs="Arial"/>
          <w:color w:val="auto"/>
          <w:sz w:val="24"/>
          <w:szCs w:val="21"/>
        </w:rPr>
        <w:t>3</w:t>
      </w:r>
      <w:r>
        <w:rPr>
          <w:rFonts w:hint="eastAsia" w:ascii="Arial" w:hAnsi="Arial" w:cs="Arial"/>
          <w:color w:val="auto"/>
          <w:sz w:val="24"/>
          <w:szCs w:val="21"/>
        </w:rPr>
        <w:t>小时</w:t>
      </w:r>
      <w:r>
        <w:rPr>
          <w:rFonts w:hint="eastAsia" w:ascii="Arial" w:hAnsi="Arial" w:cs="Arial"/>
          <w:color w:val="333333"/>
          <w:sz w:val="24"/>
          <w:szCs w:val="21"/>
        </w:rPr>
        <w:t>，满分为150分。</w:t>
      </w:r>
    </w:p>
    <w:p w14:paraId="223E9629">
      <w:pPr>
        <w:numPr>
          <w:ilvl w:val="0"/>
          <w:numId w:val="1"/>
        </w:numPr>
        <w:tabs>
          <w:tab w:val="left" w:pos="480"/>
        </w:tabs>
        <w:spacing w:line="360" w:lineRule="auto"/>
        <w:ind w:left="482" w:hanging="482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cs="Arial"/>
          <w:b/>
          <w:color w:val="333333"/>
          <w:sz w:val="24"/>
          <w:szCs w:val="21"/>
        </w:rPr>
        <w:t xml:space="preserve"> </w:t>
      </w:r>
      <w:r>
        <w:rPr>
          <w:rFonts w:ascii="Arial" w:hAnsi="Arial" w:cs="Arial"/>
          <w:b/>
          <w:color w:val="333333"/>
          <w:sz w:val="24"/>
          <w:szCs w:val="21"/>
        </w:rPr>
        <w:t xml:space="preserve"> </w:t>
      </w:r>
      <w:r>
        <w:rPr>
          <w:rFonts w:hint="eastAsia" w:ascii="Arial" w:hAnsi="Arial" w:cs="Arial"/>
          <w:b/>
          <w:color w:val="333333"/>
          <w:sz w:val="24"/>
          <w:szCs w:val="21"/>
        </w:rPr>
        <w:t>主要参考书目</w:t>
      </w:r>
    </w:p>
    <w:p w14:paraId="494FC685"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《中国古典园林史（第3版）》，周维权著，清华大学出版社，2008</w:t>
      </w:r>
    </w:p>
    <w:p w14:paraId="68DACBC3"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《西方园林史——十九世纪之前（第</w:t>
      </w:r>
      <w:r>
        <w:rPr>
          <w:rFonts w:ascii="Arial" w:hAnsi="Arial" w:cs="Arial"/>
          <w:color w:val="333333"/>
          <w:szCs w:val="21"/>
        </w:rPr>
        <w:t>3</w:t>
      </w:r>
      <w:r>
        <w:rPr>
          <w:rFonts w:hint="eastAsia" w:ascii="Arial" w:hAnsi="Arial" w:cs="Arial"/>
          <w:color w:val="333333"/>
          <w:szCs w:val="21"/>
        </w:rPr>
        <w:t>版）》，朱建宁，赵晶主编，中国林业出版社，201</w:t>
      </w:r>
      <w:r>
        <w:rPr>
          <w:rFonts w:ascii="Arial" w:hAnsi="Arial" w:cs="Arial"/>
          <w:color w:val="333333"/>
          <w:szCs w:val="21"/>
        </w:rPr>
        <w:t>9</w:t>
      </w:r>
    </w:p>
    <w:p w14:paraId="75819C1D"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《城市园林绿地规划（第5版）》，杨赉丽主编，中国林业出版社，2019</w:t>
      </w:r>
    </w:p>
    <w:p w14:paraId="3B15C450">
      <w:pPr>
        <w:numPr>
          <w:ilvl w:val="0"/>
          <w:numId w:val="2"/>
        </w:numPr>
        <w:spacing w:line="360" w:lineRule="auto"/>
        <w:rPr>
          <w:rFonts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《风景园林工程设计》，李瑞冬主编，中国建筑工业出版社，20</w:t>
      </w:r>
      <w:r>
        <w:rPr>
          <w:rFonts w:ascii="Arial" w:hAnsi="Arial" w:cs="Arial"/>
          <w:color w:val="333333"/>
          <w:szCs w:val="21"/>
        </w:rPr>
        <w:t>20</w:t>
      </w:r>
    </w:p>
    <w:p w14:paraId="6873B5DC">
      <w:pPr>
        <w:numPr>
          <w:ilvl w:val="0"/>
          <w:numId w:val="2"/>
        </w:numPr>
        <w:spacing w:line="360" w:lineRule="auto"/>
        <w:rPr>
          <w:rFonts w:hint="eastAsia" w:ascii="Arial" w:hAnsi="Arial" w:cs="Arial"/>
          <w:color w:val="333333"/>
          <w:szCs w:val="21"/>
        </w:rPr>
      </w:pPr>
      <w:r>
        <w:rPr>
          <w:rFonts w:hint="eastAsia" w:ascii="Arial" w:hAnsi="Arial" w:cs="Arial"/>
          <w:color w:val="333333"/>
          <w:szCs w:val="21"/>
        </w:rPr>
        <w:t>《景观设计学：场地规划与设计手册》 [美]约翰·O·西蒙兹，朱强、俞孔坚译，中国建筑工业出版社，2014</w:t>
      </w:r>
    </w:p>
    <w:p w14:paraId="760F328D">
      <w:pPr>
        <w:spacing w:line="360" w:lineRule="auto"/>
        <w:ind w:firstLine="420"/>
        <w:rPr>
          <w:rFonts w:hint="eastAsia"/>
          <w:szCs w:val="21"/>
        </w:rPr>
      </w:pPr>
    </w:p>
    <w:p w14:paraId="1559138D">
      <w:pPr>
        <w:spacing w:line="500" w:lineRule="exact"/>
        <w:rPr>
          <w:rFonts w:hint="eastAsia" w:ascii="宋体" w:hAnsi="宋体"/>
          <w:b/>
          <w:bCs/>
          <w:sz w:val="24"/>
        </w:rPr>
        <w:sectPr>
          <w:footerReference r:id="rId3" w:type="default"/>
          <w:pgSz w:w="11907" w:h="16839"/>
          <w:pgMar w:top="737" w:right="851" w:bottom="737" w:left="851" w:header="851" w:footer="992" w:gutter="0"/>
          <w:cols w:space="720" w:num="1"/>
          <w:docGrid w:type="lines" w:linePitch="312" w:charSpace="0"/>
        </w:sectPr>
      </w:pPr>
    </w:p>
    <w:p w14:paraId="70440376">
      <w:pPr>
        <w:spacing w:line="500" w:lineRule="exact"/>
        <w:rPr>
          <w:rFonts w:hint="eastAsia" w:ascii="宋体" w:hAnsi="宋体"/>
          <w:b/>
          <w:bCs/>
          <w:sz w:val="24"/>
        </w:rPr>
      </w:pPr>
    </w:p>
    <w:sectPr>
      <w:type w:val="continuous"/>
      <w:pgSz w:w="11907" w:h="16839"/>
      <w:pgMar w:top="737" w:right="851" w:bottom="737" w:left="851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1177C">
    <w:pPr>
      <w:pStyle w:val="4"/>
      <w:jc w:val="center"/>
    </w:pPr>
    <w:r>
      <w:rPr>
        <w:rFonts w:hint="eastAsia"/>
      </w:rPr>
      <w:t>第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</w:t>
    </w:r>
    <w:r>
      <w:rPr>
        <w:rFonts w:hint="eastAsia"/>
        <w:lang w:val="zh-CN"/>
      </w:rPr>
      <w:t>页，共</w:t>
    </w: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  <w:lang/>
      </w:rPr>
      <w:t>1</w:t>
    </w:r>
    <w:r>
      <w:rPr>
        <w:b/>
        <w:sz w:val="24"/>
        <w:szCs w:val="24"/>
      </w:rPr>
      <w:fldChar w:fldCharType="end"/>
    </w:r>
    <w:r>
      <w:rPr>
        <w:rFonts w:hint="eastAsia"/>
        <w:b/>
        <w:sz w:val="24"/>
        <w:szCs w:val="24"/>
      </w:rPr>
      <w:t xml:space="preserve"> </w:t>
    </w:r>
    <w:r>
      <w:rPr>
        <w:rFonts w:hint="eastAsia"/>
        <w:lang w:val="zh-CN"/>
      </w:rPr>
      <w:t>页</w:t>
    </w:r>
  </w:p>
  <w:p w14:paraId="2BCFA75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5CBE"/>
    <w:multiLevelType w:val="multilevel"/>
    <w:tmpl w:val="1C255CBE"/>
    <w:lvl w:ilvl="0" w:tentative="0">
      <w:start w:val="1"/>
      <w:numFmt w:val="japaneseCounting"/>
      <w:lvlText w:val="%1、"/>
      <w:lvlJc w:val="left"/>
      <w:pPr>
        <w:tabs>
          <w:tab w:val="left" w:pos="764"/>
        </w:tabs>
        <w:ind w:left="764" w:hanging="480"/>
      </w:pPr>
      <w:rPr>
        <w:rFonts w:hint="eastAsia" w:ascii="Times New Roman" w:hAnsi="Times New Roman" w:cs="Times New Roman"/>
        <w:b/>
        <w:color w:val="auto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3B1F80"/>
    <w:multiLevelType w:val="multilevel"/>
    <w:tmpl w:val="583B1F80"/>
    <w:lvl w:ilvl="0" w:tentative="0">
      <w:start w:val="1"/>
      <w:numFmt w:val="decimal"/>
      <w:lvlText w:val="（%1）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60" w:hanging="360"/>
      </w:pPr>
    </w:lvl>
    <w:lvl w:ilvl="2" w:tentative="0">
      <w:start w:val="1"/>
      <w:numFmt w:val="lowerRoman"/>
      <w:lvlText w:val="%3."/>
      <w:lvlJc w:val="right"/>
      <w:pPr>
        <w:ind w:left="2580" w:hanging="180"/>
      </w:pPr>
    </w:lvl>
    <w:lvl w:ilvl="3" w:tentative="0">
      <w:start w:val="1"/>
      <w:numFmt w:val="decimal"/>
      <w:lvlText w:val="%4."/>
      <w:lvlJc w:val="left"/>
      <w:pPr>
        <w:ind w:left="3300" w:hanging="360"/>
      </w:pPr>
    </w:lvl>
    <w:lvl w:ilvl="4" w:tentative="0">
      <w:start w:val="1"/>
      <w:numFmt w:val="lowerLetter"/>
      <w:lvlText w:val="%5."/>
      <w:lvlJc w:val="left"/>
      <w:pPr>
        <w:ind w:left="4020" w:hanging="360"/>
      </w:pPr>
    </w:lvl>
    <w:lvl w:ilvl="5" w:tentative="0">
      <w:start w:val="1"/>
      <w:numFmt w:val="lowerRoman"/>
      <w:lvlText w:val="%6."/>
      <w:lvlJc w:val="right"/>
      <w:pPr>
        <w:ind w:left="4740" w:hanging="180"/>
      </w:pPr>
    </w:lvl>
    <w:lvl w:ilvl="6" w:tentative="0">
      <w:start w:val="1"/>
      <w:numFmt w:val="decimal"/>
      <w:lvlText w:val="%7."/>
      <w:lvlJc w:val="left"/>
      <w:pPr>
        <w:ind w:left="5460" w:hanging="360"/>
      </w:pPr>
    </w:lvl>
    <w:lvl w:ilvl="7" w:tentative="0">
      <w:start w:val="1"/>
      <w:numFmt w:val="lowerLetter"/>
      <w:lvlText w:val="%8."/>
      <w:lvlJc w:val="left"/>
      <w:pPr>
        <w:ind w:left="6180" w:hanging="360"/>
      </w:pPr>
    </w:lvl>
    <w:lvl w:ilvl="8" w:tentative="0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zQ2MjI5OGNiNWQ4M2VlYTI4MzFkYWNlZDJjMzcifQ=="/>
  </w:docVars>
  <w:rsids>
    <w:rsidRoot w:val="00CF1274"/>
    <w:rsid w:val="000054BC"/>
    <w:rsid w:val="00020BEE"/>
    <w:rsid w:val="00050561"/>
    <w:rsid w:val="00054E39"/>
    <w:rsid w:val="000B0BB4"/>
    <w:rsid w:val="000B6B72"/>
    <w:rsid w:val="000E33D3"/>
    <w:rsid w:val="0010323F"/>
    <w:rsid w:val="0013634F"/>
    <w:rsid w:val="001427CA"/>
    <w:rsid w:val="0014466A"/>
    <w:rsid w:val="00157DCB"/>
    <w:rsid w:val="00170B3D"/>
    <w:rsid w:val="001E2D32"/>
    <w:rsid w:val="001E3FAC"/>
    <w:rsid w:val="002017A7"/>
    <w:rsid w:val="002045ED"/>
    <w:rsid w:val="002076FD"/>
    <w:rsid w:val="00227F1F"/>
    <w:rsid w:val="00260395"/>
    <w:rsid w:val="002805DE"/>
    <w:rsid w:val="002A052C"/>
    <w:rsid w:val="002A32C1"/>
    <w:rsid w:val="002B5E47"/>
    <w:rsid w:val="00306CC7"/>
    <w:rsid w:val="00315586"/>
    <w:rsid w:val="0033729E"/>
    <w:rsid w:val="00367171"/>
    <w:rsid w:val="00384A1B"/>
    <w:rsid w:val="00400A8C"/>
    <w:rsid w:val="004110A3"/>
    <w:rsid w:val="00411DDD"/>
    <w:rsid w:val="004204A7"/>
    <w:rsid w:val="00433352"/>
    <w:rsid w:val="00460BF0"/>
    <w:rsid w:val="00495AF9"/>
    <w:rsid w:val="004E34D5"/>
    <w:rsid w:val="00515F99"/>
    <w:rsid w:val="005879A8"/>
    <w:rsid w:val="00597C93"/>
    <w:rsid w:val="00597F47"/>
    <w:rsid w:val="00626A1D"/>
    <w:rsid w:val="006652F2"/>
    <w:rsid w:val="006B6C63"/>
    <w:rsid w:val="006C5D99"/>
    <w:rsid w:val="006D1572"/>
    <w:rsid w:val="006F50BA"/>
    <w:rsid w:val="0070193C"/>
    <w:rsid w:val="0071137E"/>
    <w:rsid w:val="00737829"/>
    <w:rsid w:val="00741C41"/>
    <w:rsid w:val="00752E04"/>
    <w:rsid w:val="00755CA6"/>
    <w:rsid w:val="007D004A"/>
    <w:rsid w:val="00802F3F"/>
    <w:rsid w:val="008100EE"/>
    <w:rsid w:val="0081463C"/>
    <w:rsid w:val="0081524A"/>
    <w:rsid w:val="00834D52"/>
    <w:rsid w:val="008564D1"/>
    <w:rsid w:val="00861237"/>
    <w:rsid w:val="0086756C"/>
    <w:rsid w:val="00880931"/>
    <w:rsid w:val="008B4A54"/>
    <w:rsid w:val="008E45DA"/>
    <w:rsid w:val="00940F33"/>
    <w:rsid w:val="00964574"/>
    <w:rsid w:val="009A5E32"/>
    <w:rsid w:val="009B1120"/>
    <w:rsid w:val="009B1C5B"/>
    <w:rsid w:val="009B2114"/>
    <w:rsid w:val="009C4114"/>
    <w:rsid w:val="00A03AEF"/>
    <w:rsid w:val="00A24204"/>
    <w:rsid w:val="00A43877"/>
    <w:rsid w:val="00A90417"/>
    <w:rsid w:val="00AF296A"/>
    <w:rsid w:val="00AF5188"/>
    <w:rsid w:val="00BF51D3"/>
    <w:rsid w:val="00CD3D43"/>
    <w:rsid w:val="00CF1274"/>
    <w:rsid w:val="00CF44CB"/>
    <w:rsid w:val="00DF498D"/>
    <w:rsid w:val="00E638AA"/>
    <w:rsid w:val="00E81A18"/>
    <w:rsid w:val="00F76141"/>
    <w:rsid w:val="00FC3C04"/>
    <w:rsid w:val="00FF1BB3"/>
    <w:rsid w:val="00FF2235"/>
    <w:rsid w:val="07D7605B"/>
    <w:rsid w:val="09DA72CC"/>
    <w:rsid w:val="0EE12381"/>
    <w:rsid w:val="1D4A194A"/>
    <w:rsid w:val="23E35E85"/>
    <w:rsid w:val="29180A7E"/>
    <w:rsid w:val="29F21FD8"/>
    <w:rsid w:val="30233C1F"/>
    <w:rsid w:val="328869F4"/>
    <w:rsid w:val="3BB51F68"/>
    <w:rsid w:val="4A5F37A5"/>
    <w:rsid w:val="51CE3FDA"/>
    <w:rsid w:val="566D4AD7"/>
    <w:rsid w:val="5A4C6A07"/>
    <w:rsid w:val="6B473BE6"/>
    <w:rsid w:val="6C1A3152"/>
    <w:rsid w:val="78024DD5"/>
    <w:rsid w:val="7BDE40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qFormat/>
    <w:uiPriority w:val="0"/>
    <w:rPr>
      <w:rFonts w:ascii="Courier New" w:hAnsi="Courier New"/>
      <w:sz w:val="20"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脚 字符"/>
    <w:link w:val="4"/>
    <w:uiPriority w:val="99"/>
    <w:rPr>
      <w:kern w:val="2"/>
      <w:sz w:val="18"/>
      <w:szCs w:val="18"/>
    </w:rPr>
  </w:style>
  <w:style w:type="character" w:customStyle="1" w:styleId="11">
    <w:name w:val="页眉 字符"/>
    <w:link w:val="5"/>
    <w:uiPriority w:val="0"/>
    <w:rPr>
      <w:kern w:val="2"/>
      <w:sz w:val="18"/>
      <w:szCs w:val="18"/>
    </w:rPr>
  </w:style>
  <w:style w:type="character" w:customStyle="1" w:styleId="12">
    <w:name w:val="HTML 预设格式 字符"/>
    <w:link w:val="6"/>
    <w:locked/>
    <w:uiPriority w:val="0"/>
    <w:rPr>
      <w:rFonts w:ascii="Courier New" w:hAnsi="Courier New"/>
      <w:kern w:val="2"/>
      <w:szCs w:val="24"/>
    </w:rPr>
  </w:style>
  <w:style w:type="character" w:customStyle="1" w:styleId="13">
    <w:name w:val="fontstyle21"/>
    <w:uiPriority w:val="0"/>
    <w:rPr>
      <w:rFonts w:ascii="Calibri" w:hAnsi="Calibri" w:cs="Calibri"/>
      <w:color w:val="000000"/>
      <w:sz w:val="22"/>
      <w:szCs w:val="22"/>
    </w:rPr>
  </w:style>
  <w:style w:type="character" w:customStyle="1" w:styleId="14">
    <w:name w:val="fontstyle01"/>
    <w:uiPriority w:val="0"/>
    <w:rPr>
      <w:rFonts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Legend (Beijing) Limited</Company>
  <Pages>7</Pages>
  <Words>3178</Words>
  <Characters>3217</Characters>
  <Lines>24</Lines>
  <Paragraphs>7</Paragraphs>
  <TotalTime>0</TotalTime>
  <ScaleCrop>false</ScaleCrop>
  <LinksUpToDate>false</LinksUpToDate>
  <CharactersWithSpaces>3294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2023-06-28T06:14:00Z</dcterms:created>
  <dc:creator>Lenovo User</dc:creator>
  <cp:lastModifiedBy>vertesyuan</cp:lastModifiedBy>
  <cp:lastPrinted>2011-09-06T07:16:00Z</cp:lastPrinted>
  <dcterms:modified xsi:type="dcterms:W3CDTF">2024-10-11T01:51:44Z</dcterms:modified>
  <dc:title>浙江理工大学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F434E77D5FD24AA5A92719CF8F84FBEC_13</vt:lpwstr>
  </property>
</Properties>
</file>