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05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</w:rPr>
        <w:t>431                   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科目名称：金融学综合</w:t>
      </w:r>
    </w:p>
    <w:p>
      <w:pPr>
        <w:ind w:left="2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一、考试要求</w:t>
      </w:r>
    </w:p>
    <w:p>
      <w:pPr>
        <w:pStyle w:val="BodyText"/>
        <w:ind w:left="27" w:right="100" w:firstLine="453"/>
        <w:spacing w:before="183" w:line="347" w:lineRule="auto"/>
        <w:rPr/>
      </w:pPr>
      <w:r>
        <w:rPr>
          <w:spacing w:val="-12"/>
        </w:rPr>
        <w:t>测试考生对于与金融学和公司理财相关的基本概念、基础理论的掌握和运用能</w:t>
      </w:r>
      <w:r>
        <w:rPr/>
        <w:t xml:space="preserve"> </w:t>
      </w:r>
      <w:r>
        <w:rPr>
          <w:spacing w:val="-16"/>
        </w:rPr>
        <w:t>力。</w:t>
      </w:r>
    </w:p>
    <w:p>
      <w:pPr>
        <w:pStyle w:val="BodyText"/>
        <w:ind w:left="27" w:right="6159"/>
        <w:spacing w:before="35" w:line="290" w:lineRule="auto"/>
        <w:rPr/>
      </w:pPr>
      <w:r>
        <w:rPr>
          <w:rFonts w:ascii="SimHei" w:hAnsi="SimHei" w:eastAsia="SimHei" w:cs="SimHei"/>
          <w:spacing w:val="-2"/>
        </w:rPr>
        <w:t>二、考试形式及时间</w:t>
      </w:r>
      <w:r>
        <w:rPr>
          <w:rFonts w:ascii="SimHei" w:hAnsi="SimHei" w:eastAsia="SimHei" w:cs="SimHei"/>
          <w:spacing w:val="3"/>
        </w:rPr>
        <w:t xml:space="preserve"> </w:t>
      </w:r>
      <w:r>
        <w:rPr>
          <w:spacing w:val="-11"/>
        </w:rPr>
        <w:t>笔试，</w:t>
      </w:r>
      <w:r>
        <w:rPr>
          <w:rFonts w:ascii="Times New Roman" w:hAnsi="Times New Roman" w:eastAsia="Times New Roman" w:cs="Times New Roman"/>
          <w:spacing w:val="-11"/>
        </w:rPr>
        <w:t>180 </w:t>
      </w:r>
      <w:r>
        <w:rPr>
          <w:spacing w:val="-11"/>
        </w:rPr>
        <w:t>分钟。</w:t>
      </w:r>
    </w:p>
    <w:p>
      <w:pPr>
        <w:ind w:left="28"/>
        <w:spacing w:before="182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三、考试内容</w:t>
      </w:r>
    </w:p>
    <w:p>
      <w:pPr>
        <w:pStyle w:val="BodyText"/>
        <w:ind w:left="3153"/>
        <w:spacing w:before="105" w:line="220" w:lineRule="auto"/>
        <w:rPr/>
      </w:pPr>
      <w:r>
        <w:rPr>
          <w:b/>
          <w:bCs/>
          <w:spacing w:val="-3"/>
        </w:rPr>
        <w:t>第一部分</w:t>
      </w:r>
      <w:r>
        <w:rPr>
          <w:spacing w:val="-3"/>
        </w:rPr>
        <w:t xml:space="preserve">   </w:t>
      </w:r>
      <w:r>
        <w:rPr>
          <w:b/>
          <w:bCs/>
          <w:spacing w:val="-3"/>
        </w:rPr>
        <w:t>金融学</w:t>
      </w:r>
    </w:p>
    <w:p>
      <w:pPr>
        <w:pStyle w:val="BodyText"/>
        <w:ind w:left="506"/>
        <w:spacing w:before="182" w:line="219" w:lineRule="auto"/>
        <w:outlineLvl w:val="0"/>
        <w:rPr/>
      </w:pPr>
      <w:r>
        <w:rPr>
          <w:b/>
          <w:bCs/>
          <w:spacing w:val="-6"/>
        </w:rPr>
        <w:t>第一章</w:t>
      </w:r>
      <w:r>
        <w:rPr>
          <w:spacing w:val="9"/>
        </w:rPr>
        <w:t xml:space="preserve">  </w:t>
      </w:r>
      <w:r>
        <w:rPr>
          <w:b/>
          <w:bCs/>
          <w:spacing w:val="-6"/>
        </w:rPr>
        <w:t>导论</w:t>
      </w:r>
    </w:p>
    <w:p>
      <w:pPr>
        <w:pStyle w:val="BodyText"/>
        <w:ind w:left="522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1.1 </w:t>
      </w:r>
      <w:r>
        <w:rPr>
          <w:spacing w:val="-3"/>
        </w:rPr>
        <w:t>金融学的研究对象</w:t>
      </w:r>
    </w:p>
    <w:p>
      <w:pPr>
        <w:pStyle w:val="BodyText"/>
        <w:ind w:left="522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1.2 </w:t>
      </w:r>
      <w:r>
        <w:rPr>
          <w:spacing w:val="-3"/>
        </w:rPr>
        <w:t>金融学的演变与发展</w:t>
      </w:r>
    </w:p>
    <w:p>
      <w:pPr>
        <w:pStyle w:val="BodyText"/>
        <w:ind w:left="506"/>
        <w:spacing w:before="179" w:line="219" w:lineRule="auto"/>
        <w:outlineLvl w:val="0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货币与货币制度</w:t>
      </w:r>
    </w:p>
    <w:p>
      <w:pPr>
        <w:pStyle w:val="BodyText"/>
        <w:ind w:left="499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2.1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货币的起源</w:t>
      </w:r>
    </w:p>
    <w:p>
      <w:pPr>
        <w:pStyle w:val="BodyText"/>
        <w:ind w:left="499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2.2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2"/>
        </w:rPr>
        <w:t>货币的本质与职能</w:t>
      </w:r>
    </w:p>
    <w:p>
      <w:pPr>
        <w:pStyle w:val="BodyText"/>
        <w:ind w:left="49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货币流通</w:t>
      </w:r>
    </w:p>
    <w:p>
      <w:pPr>
        <w:pStyle w:val="BodyText"/>
        <w:ind w:left="499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2.4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货币制度</w:t>
      </w:r>
    </w:p>
    <w:p>
      <w:pPr>
        <w:pStyle w:val="BodyText"/>
        <w:ind w:left="506"/>
        <w:spacing w:before="184" w:line="219" w:lineRule="auto"/>
        <w:outlineLvl w:val="0"/>
        <w:rPr/>
      </w:pPr>
      <w:r>
        <w:rPr>
          <w:b/>
          <w:bCs/>
          <w:spacing w:val="-3"/>
        </w:rPr>
        <w:t>第三章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信用与信用工具</w:t>
      </w:r>
    </w:p>
    <w:p>
      <w:pPr>
        <w:pStyle w:val="BodyText"/>
        <w:ind w:left="504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3.1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3"/>
        </w:rPr>
        <w:t>信用</w:t>
      </w:r>
    </w:p>
    <w:p>
      <w:pPr>
        <w:pStyle w:val="BodyText"/>
        <w:ind w:left="504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3.2 </w:t>
      </w:r>
      <w:r>
        <w:rPr>
          <w:spacing w:val="-1"/>
        </w:rPr>
        <w:t>信用工具</w:t>
      </w:r>
    </w:p>
    <w:p>
      <w:pPr>
        <w:pStyle w:val="BodyText"/>
        <w:ind w:left="506"/>
        <w:spacing w:before="180" w:line="219" w:lineRule="auto"/>
        <w:outlineLvl w:val="0"/>
        <w:rPr/>
      </w:pPr>
      <w:r>
        <w:rPr>
          <w:b/>
          <w:bCs/>
          <w:spacing w:val="-3"/>
        </w:rPr>
        <w:t>第四章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利息与利率</w:t>
      </w:r>
    </w:p>
    <w:p>
      <w:pPr>
        <w:pStyle w:val="BodyText"/>
        <w:ind w:left="498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4.1 </w:t>
      </w:r>
      <w:r>
        <w:rPr>
          <w:spacing w:val="-1"/>
        </w:rPr>
        <w:t>利息的本质与利率</w:t>
      </w:r>
    </w:p>
    <w:p>
      <w:pPr>
        <w:pStyle w:val="BodyText"/>
        <w:ind w:left="49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4.2 </w:t>
      </w:r>
      <w:r>
        <w:rPr>
          <w:spacing w:val="-1"/>
        </w:rPr>
        <w:t>利率的主要理论</w:t>
      </w:r>
    </w:p>
    <w:p>
      <w:pPr>
        <w:pStyle w:val="BodyText"/>
        <w:ind w:left="49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4.3 </w:t>
      </w:r>
      <w:r>
        <w:rPr>
          <w:spacing w:val="-1"/>
        </w:rPr>
        <w:t>利率的作用与影响利率的主要因素</w:t>
      </w:r>
    </w:p>
    <w:p>
      <w:pPr>
        <w:pStyle w:val="BodyText"/>
        <w:ind w:left="506"/>
        <w:spacing w:before="180" w:line="218" w:lineRule="auto"/>
        <w:outlineLvl w:val="0"/>
        <w:rPr/>
      </w:pPr>
      <w:r>
        <w:rPr>
          <w:b/>
          <w:bCs/>
          <w:spacing w:val="-3"/>
        </w:rPr>
        <w:t>第五章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货币的时间价值</w:t>
      </w:r>
    </w:p>
    <w:p>
      <w:pPr>
        <w:pStyle w:val="BodyText"/>
        <w:ind w:left="505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5.1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货币的时间价值</w:t>
      </w:r>
    </w:p>
    <w:p>
      <w:pPr>
        <w:pStyle w:val="BodyText"/>
        <w:ind w:left="505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5.2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终值和现值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6"/>
        <w:spacing w:before="48" w:line="218" w:lineRule="auto"/>
        <w:outlineLvl w:val="0"/>
        <w:rPr/>
      </w:pPr>
      <w:r>
        <w:rPr>
          <w:b/>
          <w:bCs/>
          <w:spacing w:val="-3"/>
        </w:rPr>
        <w:t>第六章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证券估值</w:t>
      </w:r>
    </w:p>
    <w:p>
      <w:pPr>
        <w:pStyle w:val="BodyText"/>
        <w:ind w:left="504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6.1 </w:t>
      </w:r>
      <w:r>
        <w:rPr>
          <w:spacing w:val="-1"/>
        </w:rPr>
        <w:t>证券价值评估的基本原理</w:t>
      </w:r>
    </w:p>
    <w:p>
      <w:pPr>
        <w:pStyle w:val="BodyText"/>
        <w:ind w:left="504"/>
        <w:spacing w:before="182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6.2 </w:t>
      </w:r>
      <w:r>
        <w:rPr>
          <w:spacing w:val="-1"/>
        </w:rPr>
        <w:t>债券价值评估</w:t>
      </w:r>
    </w:p>
    <w:p>
      <w:pPr>
        <w:pStyle w:val="BodyText"/>
        <w:ind w:left="504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6.3 </w:t>
      </w:r>
      <w:r>
        <w:rPr>
          <w:spacing w:val="-1"/>
        </w:rPr>
        <w:t>股票价值评估</w:t>
      </w:r>
    </w:p>
    <w:p>
      <w:pPr>
        <w:pStyle w:val="BodyText"/>
        <w:ind w:left="506"/>
        <w:spacing w:before="181" w:line="219" w:lineRule="auto"/>
        <w:outlineLvl w:val="0"/>
        <w:rPr/>
      </w:pPr>
      <w:r>
        <w:rPr>
          <w:b/>
          <w:bCs/>
          <w:spacing w:val="-3"/>
        </w:rPr>
        <w:t>第七章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金融市场及其构成</w:t>
      </w:r>
    </w:p>
    <w:p>
      <w:pPr>
        <w:pStyle w:val="BodyText"/>
        <w:ind w:left="503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7.1 </w:t>
      </w:r>
      <w:r>
        <w:rPr>
          <w:spacing w:val="-1"/>
        </w:rPr>
        <w:t>金融市场及其种类</w:t>
      </w:r>
    </w:p>
    <w:p>
      <w:pPr>
        <w:pStyle w:val="BodyText"/>
        <w:ind w:left="503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7.2 </w:t>
      </w:r>
      <w:r>
        <w:rPr>
          <w:spacing w:val="-1"/>
        </w:rPr>
        <w:t>金融市场的构成</w:t>
      </w:r>
    </w:p>
    <w:p>
      <w:pPr>
        <w:pStyle w:val="BodyText"/>
        <w:ind w:left="506"/>
        <w:spacing w:before="183" w:line="219" w:lineRule="auto"/>
        <w:outlineLvl w:val="0"/>
        <w:rPr/>
      </w:pPr>
      <w:r>
        <w:rPr>
          <w:b/>
          <w:bCs/>
          <w:spacing w:val="-3"/>
        </w:rPr>
        <w:t>第八章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金融运营组织：商业银行</w:t>
      </w:r>
    </w:p>
    <w:p>
      <w:pPr>
        <w:pStyle w:val="BodyText"/>
        <w:ind w:left="509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8.1  </w:t>
      </w:r>
      <w:r>
        <w:rPr>
          <w:spacing w:val="-2"/>
        </w:rPr>
        <w:t>商业银行概述</w:t>
      </w:r>
    </w:p>
    <w:p>
      <w:pPr>
        <w:pStyle w:val="BodyText"/>
        <w:ind w:left="50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8.2  </w:t>
      </w:r>
      <w:r>
        <w:rPr>
          <w:spacing w:val="-1"/>
        </w:rPr>
        <w:t>商业银行的资产负债业务</w:t>
      </w:r>
    </w:p>
    <w:p>
      <w:pPr>
        <w:pStyle w:val="BodyText"/>
        <w:ind w:left="509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8.3  </w:t>
      </w:r>
      <w:r>
        <w:rPr>
          <w:spacing w:val="-1"/>
        </w:rPr>
        <w:t>商业银行的表外业务</w:t>
      </w:r>
    </w:p>
    <w:p>
      <w:pPr>
        <w:pStyle w:val="BodyText"/>
        <w:ind w:left="50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8.4  </w:t>
      </w:r>
      <w:r>
        <w:rPr>
          <w:spacing w:val="-1"/>
        </w:rPr>
        <w:t>现代商业银行的管理</w:t>
      </w:r>
    </w:p>
    <w:p>
      <w:pPr>
        <w:pStyle w:val="BodyText"/>
        <w:ind w:left="506"/>
        <w:spacing w:before="180" w:line="219" w:lineRule="auto"/>
        <w:outlineLvl w:val="0"/>
        <w:rPr/>
      </w:pPr>
      <w:r>
        <w:rPr>
          <w:b/>
          <w:bCs/>
          <w:spacing w:val="-2"/>
        </w:rPr>
        <w:t>第九章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金融运营组织：非商业银行金融机构</w:t>
      </w:r>
    </w:p>
    <w:p>
      <w:pPr>
        <w:pStyle w:val="BodyText"/>
        <w:ind w:left="504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9.1  </w:t>
      </w:r>
      <w:r>
        <w:rPr>
          <w:spacing w:val="-1"/>
        </w:rPr>
        <w:t>政策性金融机构</w:t>
      </w:r>
    </w:p>
    <w:p>
      <w:pPr>
        <w:pStyle w:val="BodyText"/>
        <w:ind w:left="50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9.2  </w:t>
      </w:r>
      <w:r>
        <w:rPr>
          <w:spacing w:val="-1"/>
        </w:rPr>
        <w:t>保险公司</w:t>
      </w:r>
    </w:p>
    <w:p>
      <w:pPr>
        <w:pStyle w:val="BodyText"/>
        <w:ind w:left="504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9.3  </w:t>
      </w:r>
      <w:r>
        <w:rPr>
          <w:spacing w:val="-1"/>
        </w:rPr>
        <w:t>金融租赁公司、期货公司与信托公司</w:t>
      </w:r>
    </w:p>
    <w:p>
      <w:pPr>
        <w:pStyle w:val="BodyText"/>
        <w:ind w:left="50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9.4  </w:t>
      </w:r>
      <w:r>
        <w:rPr>
          <w:spacing w:val="-1"/>
        </w:rPr>
        <w:t>其它金融机构</w:t>
      </w:r>
    </w:p>
    <w:p>
      <w:pPr>
        <w:pStyle w:val="BodyText"/>
        <w:ind w:left="506"/>
        <w:spacing w:before="181" w:line="219" w:lineRule="auto"/>
        <w:outlineLvl w:val="0"/>
        <w:rPr/>
      </w:pPr>
      <w:r>
        <w:rPr>
          <w:b/>
          <w:bCs/>
          <w:spacing w:val="-3"/>
        </w:rPr>
        <w:t>第十章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货币创造机制</w:t>
      </w:r>
    </w:p>
    <w:p>
      <w:pPr>
        <w:pStyle w:val="BodyText"/>
        <w:ind w:left="52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10.1  </w:t>
      </w:r>
      <w:r>
        <w:rPr>
          <w:spacing w:val="-2"/>
        </w:rPr>
        <w:t>存款货币创造机制</w:t>
      </w:r>
    </w:p>
    <w:p>
      <w:pPr>
        <w:pStyle w:val="BodyText"/>
        <w:ind w:left="522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10.2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 </w:t>
      </w:r>
      <w:r>
        <w:rPr>
          <w:spacing w:val="-4"/>
        </w:rPr>
        <w:t>中央银行体制下的货币创造过程</w:t>
      </w:r>
    </w:p>
    <w:p>
      <w:pPr>
        <w:pStyle w:val="BodyText"/>
        <w:ind w:left="506"/>
        <w:spacing w:before="184" w:line="219" w:lineRule="auto"/>
        <w:outlineLvl w:val="0"/>
        <w:rPr/>
      </w:pPr>
      <w:r>
        <w:rPr>
          <w:b/>
          <w:bCs/>
          <w:spacing w:val="-3"/>
        </w:rPr>
        <w:t>第十一章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货币政策</w:t>
      </w:r>
    </w:p>
    <w:p>
      <w:pPr>
        <w:pStyle w:val="BodyText"/>
        <w:ind w:left="522" w:right="5869"/>
        <w:spacing w:before="182" w:line="346" w:lineRule="auto"/>
        <w:rPr/>
      </w:pPr>
      <w:r>
        <w:rPr>
          <w:rFonts w:ascii="Times New Roman" w:hAnsi="Times New Roman" w:eastAsia="Times New Roman" w:cs="Times New Roman"/>
          <w:spacing w:val="-6"/>
        </w:rPr>
        <w:t>11.1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6"/>
        </w:rPr>
        <w:t>货币政策目标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11.2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6"/>
        </w:rPr>
        <w:t>货币政策工具</w:t>
      </w:r>
    </w:p>
    <w:p>
      <w:pPr>
        <w:pStyle w:val="BodyText"/>
        <w:ind w:left="522" w:right="3949"/>
        <w:spacing w:before="34" w:line="346" w:lineRule="auto"/>
        <w:rPr/>
      </w:pPr>
      <w:r>
        <w:rPr>
          <w:rFonts w:ascii="Times New Roman" w:hAnsi="Times New Roman" w:eastAsia="Times New Roman" w:cs="Times New Roman"/>
          <w:spacing w:val="-2"/>
        </w:rPr>
        <w:t>11.3  </w:t>
      </w:r>
      <w:r>
        <w:rPr>
          <w:spacing w:val="-2"/>
        </w:rPr>
        <w:t>货币政策的传导机制与中介指标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11.4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6"/>
        </w:rPr>
        <w:t>货币政策效果</w:t>
      </w:r>
    </w:p>
    <w:p>
      <w:pPr>
        <w:pStyle w:val="BodyText"/>
        <w:ind w:left="506"/>
        <w:spacing w:before="33" w:line="219" w:lineRule="auto"/>
        <w:outlineLvl w:val="0"/>
        <w:rPr/>
      </w:pPr>
      <w:r>
        <w:rPr>
          <w:b/>
          <w:bCs/>
          <w:spacing w:val="-3"/>
        </w:rPr>
        <w:t>第十二章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货币供求及均衡</w:t>
      </w:r>
    </w:p>
    <w:p>
      <w:pPr>
        <w:pStyle w:val="BodyText"/>
        <w:ind w:left="52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12.1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5"/>
        </w:rPr>
        <w:t>货币供求</w:t>
      </w:r>
    </w:p>
    <w:p>
      <w:pPr>
        <w:pStyle w:val="BodyText"/>
        <w:ind w:left="522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12.2  </w:t>
      </w:r>
      <w:r>
        <w:rPr>
          <w:spacing w:val="-2"/>
        </w:rPr>
        <w:t>货币均衡与失衡</w:t>
      </w:r>
    </w:p>
    <w:p>
      <w:pPr>
        <w:pStyle w:val="BodyText"/>
        <w:ind w:left="522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12.3  </w:t>
      </w:r>
      <w:r>
        <w:rPr>
          <w:spacing w:val="-2"/>
        </w:rPr>
        <w:t>通货膨胀与通货紧缩</w:t>
      </w:r>
    </w:p>
    <w:p>
      <w:pPr>
        <w:pStyle w:val="BodyText"/>
        <w:ind w:left="506"/>
        <w:spacing w:before="181" w:line="219" w:lineRule="auto"/>
        <w:outlineLvl w:val="0"/>
        <w:rPr/>
      </w:pPr>
      <w:r>
        <w:rPr>
          <w:b/>
          <w:bCs/>
          <w:spacing w:val="-3"/>
        </w:rPr>
        <w:t>第十三章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金融监管</w:t>
      </w:r>
    </w:p>
    <w:p>
      <w:pPr>
        <w:spacing w:line="219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522"/>
        <w:spacing w:before="4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13.1  </w:t>
      </w:r>
      <w:r>
        <w:rPr>
          <w:spacing w:val="-2"/>
        </w:rPr>
        <w:t>金融监管的内容和方法</w:t>
      </w:r>
    </w:p>
    <w:p>
      <w:pPr>
        <w:pStyle w:val="BodyText"/>
        <w:ind w:left="52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13.2  </w:t>
      </w:r>
      <w:r>
        <w:rPr>
          <w:spacing w:val="-3"/>
        </w:rPr>
        <w:t>金融监管体制</w:t>
      </w:r>
    </w:p>
    <w:p>
      <w:pPr>
        <w:pStyle w:val="BodyText"/>
        <w:ind w:left="522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13.3  </w:t>
      </w:r>
      <w:r>
        <w:rPr>
          <w:spacing w:val="-2"/>
        </w:rPr>
        <w:t>我国的金融监管组织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13.4  </w:t>
      </w:r>
      <w:r>
        <w:rPr>
          <w:spacing w:val="-2"/>
        </w:rPr>
        <w:t>金融监管的国际协调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3333"/>
        <w:spacing w:before="78" w:line="220" w:lineRule="auto"/>
        <w:rPr/>
      </w:pPr>
      <w:r>
        <w:rPr>
          <w:b/>
          <w:bCs/>
          <w:spacing w:val="-5"/>
        </w:rPr>
        <w:t>第二部分</w:t>
      </w:r>
      <w:r>
        <w:rPr>
          <w:spacing w:val="9"/>
        </w:rPr>
        <w:t xml:space="preserve">  </w:t>
      </w:r>
      <w:r>
        <w:rPr>
          <w:b/>
          <w:bCs/>
          <w:spacing w:val="-5"/>
        </w:rPr>
        <w:t>公司理财</w:t>
      </w:r>
    </w:p>
    <w:p>
      <w:pPr>
        <w:pStyle w:val="BodyText"/>
        <w:ind w:left="506"/>
        <w:spacing w:before="182" w:line="219" w:lineRule="auto"/>
        <w:outlineLvl w:val="0"/>
        <w:rPr/>
      </w:pPr>
      <w:r>
        <w:rPr>
          <w:b/>
          <w:bCs/>
          <w:spacing w:val="-5"/>
        </w:rPr>
        <w:t>第一章</w:t>
      </w:r>
      <w:r>
        <w:rPr>
          <w:spacing w:val="10"/>
        </w:rPr>
        <w:t xml:space="preserve">  </w:t>
      </w:r>
      <w:r>
        <w:rPr>
          <w:b/>
          <w:bCs/>
          <w:spacing w:val="-5"/>
        </w:rPr>
        <w:t>公司理财导论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1.1    </w:t>
      </w:r>
      <w:r>
        <w:rPr>
          <w:spacing w:val="-2"/>
        </w:rPr>
        <w:t>什么是公司理财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1.2</w:t>
      </w:r>
      <w:r>
        <w:rPr>
          <w:rFonts w:ascii="Times New Roman" w:hAnsi="Times New Roman" w:eastAsia="Times New Roman" w:cs="Times New Roman"/>
          <w:spacing w:val="5"/>
        </w:rPr>
        <w:t xml:space="preserve">    </w:t>
      </w:r>
      <w:r>
        <w:rPr>
          <w:spacing w:val="-6"/>
        </w:rPr>
        <w:t>公司制企业</w:t>
      </w:r>
    </w:p>
    <w:p>
      <w:pPr>
        <w:pStyle w:val="BodyText"/>
        <w:ind w:left="522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1.3    </w:t>
      </w:r>
      <w:r>
        <w:rPr>
          <w:spacing w:val="-2"/>
        </w:rPr>
        <w:t>现金流的重要性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1.4    </w:t>
      </w:r>
      <w:r>
        <w:rPr>
          <w:spacing w:val="-2"/>
        </w:rPr>
        <w:t>财务管理的目标</w:t>
      </w:r>
    </w:p>
    <w:p>
      <w:pPr>
        <w:pStyle w:val="BodyText"/>
        <w:ind w:left="522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1.5    </w:t>
      </w:r>
      <w:r>
        <w:rPr>
          <w:spacing w:val="-2"/>
        </w:rPr>
        <w:t>代理问题和公司的控制</w:t>
      </w:r>
    </w:p>
    <w:p>
      <w:pPr>
        <w:pStyle w:val="BodyText"/>
        <w:ind w:left="506"/>
        <w:spacing w:before="183" w:line="219" w:lineRule="auto"/>
        <w:outlineLvl w:val="0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会计报表与现金流量</w:t>
      </w:r>
    </w:p>
    <w:p>
      <w:pPr>
        <w:pStyle w:val="BodyText"/>
        <w:ind w:left="49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2.1</w:t>
      </w:r>
      <w:r>
        <w:rPr>
          <w:rFonts w:ascii="Times New Roman" w:hAnsi="Times New Roman" w:eastAsia="Times New Roman" w:cs="Times New Roman"/>
          <w:spacing w:val="5"/>
        </w:rPr>
        <w:t xml:space="preserve">    </w:t>
      </w:r>
      <w:r>
        <w:rPr>
          <w:spacing w:val="-3"/>
        </w:rPr>
        <w:t>资产负债表</w:t>
      </w:r>
    </w:p>
    <w:p>
      <w:pPr>
        <w:pStyle w:val="BodyText"/>
        <w:ind w:left="499" w:right="6580"/>
        <w:spacing w:before="184" w:line="289" w:lineRule="auto"/>
        <w:rPr/>
      </w:pPr>
      <w:r>
        <w:rPr>
          <w:rFonts w:ascii="Times New Roman" w:hAnsi="Times New Roman" w:eastAsia="Times New Roman" w:cs="Times New Roman"/>
          <w:spacing w:val="-3"/>
        </w:rPr>
        <w:t>2.2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3"/>
        </w:rPr>
        <w:t>利润表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2.3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2"/>
        </w:rPr>
        <w:t>税</w:t>
      </w:r>
    </w:p>
    <w:p>
      <w:pPr>
        <w:pStyle w:val="BodyText"/>
        <w:ind w:left="499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2.4    </w:t>
      </w:r>
      <w:r>
        <w:rPr>
          <w:spacing w:val="-1"/>
        </w:rPr>
        <w:t>净营运资本</w:t>
      </w:r>
    </w:p>
    <w:p>
      <w:pPr>
        <w:pStyle w:val="BodyText"/>
        <w:ind w:left="49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2.5    </w:t>
      </w:r>
      <w:r>
        <w:rPr>
          <w:spacing w:val="-1"/>
        </w:rPr>
        <w:t>企业的现金流量</w:t>
      </w:r>
    </w:p>
    <w:p>
      <w:pPr>
        <w:pStyle w:val="BodyText"/>
        <w:ind w:left="499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2.6    </w:t>
      </w:r>
      <w:r>
        <w:rPr>
          <w:spacing w:val="-1"/>
        </w:rPr>
        <w:t>会计现金流量表</w:t>
      </w:r>
    </w:p>
    <w:p>
      <w:pPr>
        <w:pStyle w:val="BodyText"/>
        <w:ind w:left="49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2.7    </w:t>
      </w:r>
      <w:r>
        <w:rPr>
          <w:spacing w:val="-1"/>
        </w:rPr>
        <w:t>现金流量管理</w:t>
      </w:r>
    </w:p>
    <w:p>
      <w:pPr>
        <w:pStyle w:val="BodyText"/>
        <w:ind w:left="506"/>
        <w:spacing w:before="180" w:line="219" w:lineRule="auto"/>
        <w:outlineLvl w:val="0"/>
        <w:rPr/>
      </w:pPr>
      <w:r>
        <w:rPr>
          <w:b/>
          <w:bCs/>
          <w:spacing w:val="-2"/>
        </w:rPr>
        <w:t>第三章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财务报表分析与长期计划</w:t>
      </w:r>
    </w:p>
    <w:p>
      <w:pPr>
        <w:pStyle w:val="BodyText"/>
        <w:ind w:left="504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3.1    </w:t>
      </w:r>
      <w:r>
        <w:rPr>
          <w:spacing w:val="-1"/>
        </w:rPr>
        <w:t>财务报表分析</w:t>
      </w:r>
    </w:p>
    <w:p>
      <w:pPr>
        <w:pStyle w:val="BodyText"/>
        <w:ind w:left="504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3.2</w:t>
      </w:r>
      <w:r>
        <w:rPr>
          <w:rFonts w:ascii="Times New Roman" w:hAnsi="Times New Roman" w:eastAsia="Times New Roman" w:cs="Times New Roman"/>
          <w:spacing w:val="10"/>
        </w:rPr>
        <w:t xml:space="preserve">    </w:t>
      </w:r>
      <w:r>
        <w:rPr>
          <w:spacing w:val="-6"/>
        </w:rPr>
        <w:t>比率分析</w:t>
      </w:r>
    </w:p>
    <w:p>
      <w:pPr>
        <w:pStyle w:val="BodyText"/>
        <w:ind w:left="50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3.3    </w:t>
      </w:r>
      <w:r>
        <w:rPr>
          <w:spacing w:val="-1"/>
        </w:rPr>
        <w:t>杜邦恒等式</w:t>
      </w:r>
    </w:p>
    <w:p>
      <w:pPr>
        <w:pStyle w:val="BodyText"/>
        <w:ind w:left="504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3.4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3"/>
        </w:rPr>
        <w:t>财务模型</w:t>
      </w:r>
    </w:p>
    <w:p>
      <w:pPr>
        <w:pStyle w:val="BodyText"/>
        <w:ind w:left="50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3.5    </w:t>
      </w:r>
      <w:r>
        <w:rPr>
          <w:spacing w:val="-1"/>
        </w:rPr>
        <w:t>外部融资与增长</w:t>
      </w:r>
    </w:p>
    <w:p>
      <w:pPr>
        <w:pStyle w:val="BodyText"/>
        <w:ind w:left="504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3.6    </w:t>
      </w:r>
      <w:r>
        <w:rPr>
          <w:spacing w:val="-1"/>
        </w:rPr>
        <w:t>关于财务计划模型的注意事项</w:t>
      </w:r>
    </w:p>
    <w:p>
      <w:pPr>
        <w:pStyle w:val="BodyText"/>
        <w:ind w:left="506"/>
        <w:spacing w:before="183" w:line="219" w:lineRule="auto"/>
        <w:outlineLvl w:val="0"/>
        <w:rPr/>
      </w:pPr>
      <w:r>
        <w:rPr>
          <w:b/>
          <w:bCs/>
          <w:spacing w:val="-2"/>
        </w:rPr>
        <w:t>第四章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收益和风险：从市场历史得到的经验</w:t>
      </w:r>
    </w:p>
    <w:p>
      <w:pPr>
        <w:pStyle w:val="BodyText"/>
        <w:ind w:left="49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4.1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3"/>
        </w:rPr>
        <w:t>收益</w:t>
      </w:r>
    </w:p>
    <w:p>
      <w:pPr>
        <w:pStyle w:val="BodyText"/>
        <w:ind w:left="49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4.2    </w:t>
      </w:r>
      <w:r>
        <w:rPr>
          <w:spacing w:val="-1"/>
        </w:rPr>
        <w:t>持有期收益</w:t>
      </w:r>
    </w:p>
    <w:p>
      <w:pPr>
        <w:spacing w:line="220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498"/>
        <w:spacing w:before="4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4.3</w:t>
      </w:r>
      <w:r>
        <w:rPr>
          <w:rFonts w:ascii="Times New Roman" w:hAnsi="Times New Roman" w:eastAsia="Times New Roman" w:cs="Times New Roman"/>
          <w:spacing w:val="6"/>
        </w:rPr>
        <w:t xml:space="preserve">    </w:t>
      </w:r>
      <w:r>
        <w:rPr>
          <w:spacing w:val="-3"/>
        </w:rPr>
        <w:t>收益的统计量</w:t>
      </w:r>
    </w:p>
    <w:p>
      <w:pPr>
        <w:pStyle w:val="BodyText"/>
        <w:ind w:left="49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4.4    </w:t>
      </w:r>
      <w:r>
        <w:rPr>
          <w:spacing w:val="-1"/>
        </w:rPr>
        <w:t>股票的平均收益和无风险收益</w:t>
      </w:r>
    </w:p>
    <w:p>
      <w:pPr>
        <w:pStyle w:val="BodyText"/>
        <w:ind w:left="498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4.5    </w:t>
      </w:r>
      <w:r>
        <w:rPr>
          <w:spacing w:val="-1"/>
        </w:rPr>
        <w:t>风险的统计量</w:t>
      </w:r>
    </w:p>
    <w:p>
      <w:pPr>
        <w:pStyle w:val="BodyText"/>
        <w:ind w:left="49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4.6    </w:t>
      </w:r>
      <w:r>
        <w:rPr>
          <w:spacing w:val="-1"/>
        </w:rPr>
        <w:t>更多关于平均收益的内容</w:t>
      </w:r>
    </w:p>
    <w:p>
      <w:pPr>
        <w:pStyle w:val="BodyText"/>
        <w:ind w:left="498"/>
        <w:spacing w:before="179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4.7    2008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： 金融危机的一年</w:t>
      </w:r>
    </w:p>
    <w:p>
      <w:pPr>
        <w:pStyle w:val="BodyText"/>
        <w:ind w:left="506"/>
        <w:spacing w:before="183" w:line="218" w:lineRule="auto"/>
        <w:outlineLvl w:val="0"/>
        <w:rPr/>
      </w:pPr>
      <w:r>
        <w:rPr>
          <w:b/>
          <w:bCs/>
          <w:spacing w:val="-2"/>
        </w:rPr>
        <w:t>第五章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收益和风险：资本资产定价模型</w:t>
      </w:r>
    </w:p>
    <w:p>
      <w:pPr>
        <w:pStyle w:val="BodyText"/>
        <w:ind w:left="50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5.1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3"/>
        </w:rPr>
        <w:t>单个证券</w:t>
      </w:r>
    </w:p>
    <w:p>
      <w:pPr>
        <w:pStyle w:val="BodyText"/>
        <w:ind w:left="50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5.2    </w:t>
      </w:r>
      <w:r>
        <w:rPr>
          <w:spacing w:val="-1"/>
        </w:rPr>
        <w:t>期望收益、方差和协方差</w:t>
      </w:r>
    </w:p>
    <w:p>
      <w:pPr>
        <w:pStyle w:val="BodyText"/>
        <w:ind w:left="505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5.3    </w:t>
      </w:r>
      <w:r>
        <w:rPr>
          <w:spacing w:val="-1"/>
        </w:rPr>
        <w:t>投资组合的收益和风险</w:t>
      </w:r>
    </w:p>
    <w:p>
      <w:pPr>
        <w:pStyle w:val="BodyText"/>
        <w:ind w:left="50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5.4    </w:t>
      </w:r>
      <w:r>
        <w:rPr>
          <w:spacing w:val="-1"/>
        </w:rPr>
        <w:t>两种资产组合的有效集</w:t>
      </w:r>
    </w:p>
    <w:p>
      <w:pPr>
        <w:pStyle w:val="BodyText"/>
        <w:ind w:left="505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5.5    </w:t>
      </w:r>
      <w:r>
        <w:rPr>
          <w:spacing w:val="-1"/>
        </w:rPr>
        <w:t>多种资产组合的有效集</w:t>
      </w:r>
    </w:p>
    <w:p>
      <w:pPr>
        <w:pStyle w:val="BodyText"/>
        <w:ind w:left="505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5.6</w:t>
      </w:r>
      <w:r>
        <w:rPr>
          <w:rFonts w:ascii="Times New Roman" w:hAnsi="Times New Roman" w:eastAsia="Times New Roman" w:cs="Times New Roman"/>
          <w:spacing w:val="6"/>
        </w:rPr>
        <w:t xml:space="preserve">    </w:t>
      </w:r>
      <w:r>
        <w:rPr>
          <w:spacing w:val="-5"/>
        </w:rPr>
        <w:t>多元化</w:t>
      </w:r>
    </w:p>
    <w:p>
      <w:pPr>
        <w:pStyle w:val="BodyText"/>
        <w:ind w:left="505"/>
        <w:spacing w:before="17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5.7    </w:t>
      </w:r>
      <w:r>
        <w:rPr>
          <w:spacing w:val="-1"/>
        </w:rPr>
        <w:t>无风险借贷</w:t>
      </w:r>
    </w:p>
    <w:p>
      <w:pPr>
        <w:pStyle w:val="BodyText"/>
        <w:ind w:left="505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5.8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4"/>
        </w:rPr>
        <w:t>市场均衡</w:t>
      </w:r>
    </w:p>
    <w:p>
      <w:pPr>
        <w:pStyle w:val="BodyText"/>
        <w:ind w:left="505"/>
        <w:spacing w:before="181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5.9    </w:t>
      </w:r>
      <w:r>
        <w:rPr>
          <w:spacing w:val="-1"/>
        </w:rPr>
        <w:t>风险与期望收益之间的关系（资本资产定价模型）</w:t>
      </w:r>
    </w:p>
    <w:p>
      <w:pPr>
        <w:pStyle w:val="BodyText"/>
        <w:ind w:left="506"/>
        <w:spacing w:before="185" w:line="218" w:lineRule="auto"/>
        <w:outlineLvl w:val="0"/>
        <w:rPr/>
      </w:pPr>
      <w:r>
        <w:rPr>
          <w:b/>
          <w:bCs/>
          <w:spacing w:val="-2"/>
        </w:rPr>
        <w:t>第六章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看待风险与收益的另一种观点：套利定价理论</w:t>
      </w:r>
    </w:p>
    <w:p>
      <w:pPr>
        <w:pStyle w:val="BodyText"/>
        <w:ind w:left="504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6.1    </w:t>
      </w:r>
      <w:r>
        <w:rPr>
          <w:spacing w:val="-1"/>
        </w:rPr>
        <w:t>系统风险和贝塔系数</w:t>
      </w:r>
    </w:p>
    <w:p>
      <w:pPr>
        <w:pStyle w:val="BodyText"/>
        <w:ind w:left="504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6.2    </w:t>
      </w:r>
      <w:r>
        <w:rPr>
          <w:spacing w:val="-1"/>
        </w:rPr>
        <w:t>投资组合与因素模型</w:t>
      </w:r>
    </w:p>
    <w:p>
      <w:pPr>
        <w:pStyle w:val="BodyText"/>
        <w:ind w:left="50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6.3    </w:t>
      </w:r>
      <w:r>
        <w:rPr>
          <w:spacing w:val="-1"/>
        </w:rPr>
        <w:t>贝塔系数、套利与期望收益</w:t>
      </w:r>
    </w:p>
    <w:p>
      <w:pPr>
        <w:pStyle w:val="BodyText"/>
        <w:ind w:left="504"/>
        <w:spacing w:before="180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6.4    </w:t>
      </w:r>
      <w:r>
        <w:rPr>
          <w:spacing w:val="-1"/>
        </w:rPr>
        <w:t>资本资产定价模型和套利定价模型</w:t>
      </w:r>
    </w:p>
    <w:p>
      <w:pPr>
        <w:pStyle w:val="BodyText"/>
        <w:ind w:left="504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6.5    </w:t>
      </w:r>
      <w:r>
        <w:rPr>
          <w:spacing w:val="-1"/>
        </w:rPr>
        <w:t>资产定价的实证方法</w:t>
      </w:r>
    </w:p>
    <w:p>
      <w:pPr>
        <w:pStyle w:val="BodyText"/>
        <w:ind w:left="506"/>
        <w:spacing w:before="183" w:line="218" w:lineRule="auto"/>
        <w:outlineLvl w:val="0"/>
        <w:rPr/>
      </w:pPr>
      <w:r>
        <w:rPr>
          <w:b/>
          <w:bCs/>
          <w:spacing w:val="-2"/>
        </w:rPr>
        <w:t>第七章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风险、资本成本和估值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7.1    </w:t>
      </w:r>
      <w:r>
        <w:rPr>
          <w:spacing w:val="-1"/>
        </w:rPr>
        <w:t>权益资本成本</w:t>
      </w:r>
    </w:p>
    <w:p>
      <w:pPr>
        <w:pStyle w:val="BodyText"/>
        <w:ind w:left="503"/>
        <w:spacing w:before="181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7.2    </w:t>
      </w:r>
      <w:r>
        <w:rPr>
          <w:spacing w:val="-1"/>
        </w:rPr>
        <w:t>用资本资产定价模型估计权益资本成本</w:t>
      </w:r>
    </w:p>
    <w:p>
      <w:pPr>
        <w:pStyle w:val="BodyText"/>
        <w:ind w:left="503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7.3    </w:t>
      </w:r>
      <w:r>
        <w:rPr>
          <w:spacing w:val="-1"/>
        </w:rPr>
        <w:t>估计贝塔</w:t>
      </w:r>
    </w:p>
    <w:p>
      <w:pPr>
        <w:pStyle w:val="BodyText"/>
        <w:ind w:left="503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7.4</w:t>
      </w:r>
      <w:r>
        <w:rPr>
          <w:rFonts w:ascii="Times New Roman" w:hAnsi="Times New Roman" w:eastAsia="Times New Roman" w:cs="Times New Roman"/>
          <w:spacing w:val="8"/>
        </w:rPr>
        <w:t xml:space="preserve">    </w:t>
      </w:r>
      <w:r>
        <w:rPr>
          <w:spacing w:val="-4"/>
        </w:rPr>
        <w:t>贝塔的影响因素</w:t>
      </w:r>
    </w:p>
    <w:p>
      <w:pPr>
        <w:pStyle w:val="BodyText"/>
        <w:ind w:left="50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7.5    </w:t>
      </w:r>
      <w:r>
        <w:rPr>
          <w:spacing w:val="-1"/>
        </w:rPr>
        <w:t>股利折现模型法</w:t>
      </w:r>
    </w:p>
    <w:p>
      <w:pPr>
        <w:pStyle w:val="BodyText"/>
        <w:ind w:left="503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7.6    </w:t>
      </w:r>
      <w:r>
        <w:rPr>
          <w:spacing w:val="-1"/>
        </w:rPr>
        <w:t>部门和项目的资本成本</w:t>
      </w:r>
    </w:p>
    <w:p>
      <w:pPr>
        <w:pStyle w:val="BodyText"/>
        <w:ind w:left="503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7.7</w:t>
      </w:r>
      <w:r>
        <w:rPr>
          <w:rFonts w:ascii="Times New Roman" w:hAnsi="Times New Roman" w:eastAsia="Times New Roman" w:cs="Times New Roman"/>
          <w:spacing w:val="7"/>
        </w:rPr>
        <w:t xml:space="preserve">    </w:t>
      </w:r>
      <w:r>
        <w:rPr>
          <w:spacing w:val="-3"/>
        </w:rPr>
        <w:t>固定收益证券的成本</w:t>
      </w:r>
    </w:p>
    <w:p>
      <w:pPr>
        <w:pStyle w:val="BodyText"/>
        <w:ind w:left="503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7.8    </w:t>
      </w:r>
      <w:r>
        <w:rPr>
          <w:spacing w:val="-1"/>
        </w:rPr>
        <w:t>加权平均资本成本</w:t>
      </w:r>
    </w:p>
    <w:p>
      <w:pPr>
        <w:spacing w:line="219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503"/>
        <w:spacing w:before="48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7.9    </w:t>
      </w:r>
      <w:r>
        <w:rPr>
          <w:spacing w:val="-3"/>
        </w:rPr>
        <w:t>运用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R</w:t>
      </w:r>
      <w:r>
        <w:rPr>
          <w:rFonts w:ascii="Times New Roman" w:hAnsi="Times New Roman" w:eastAsia="Times New Roman" w:cs="Times New Roman"/>
          <w:sz w:val="16"/>
          <w:szCs w:val="16"/>
          <w:spacing w:val="-3"/>
          <w:position w:val="-1"/>
        </w:rPr>
        <w:t>WACC</w:t>
      </w:r>
      <w:r>
        <w:rPr>
          <w:rFonts w:ascii="Times New Roman" w:hAnsi="Times New Roman" w:eastAsia="Times New Roman" w:cs="Times New Roman"/>
          <w:sz w:val="16"/>
          <w:szCs w:val="16"/>
          <w:spacing w:val="9"/>
          <w:position w:val="-1"/>
        </w:rPr>
        <w:t xml:space="preserve"> </w:t>
      </w:r>
      <w:r>
        <w:rPr>
          <w:spacing w:val="-3"/>
        </w:rPr>
        <w:t>进行估值</w:t>
      </w:r>
    </w:p>
    <w:p>
      <w:pPr>
        <w:pStyle w:val="BodyText"/>
        <w:ind w:left="503"/>
        <w:spacing w:before="184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7.10    </w:t>
      </w:r>
      <w:r>
        <w:rPr>
          <w:spacing w:val="-1"/>
        </w:rPr>
        <w:t>伊士曼公司的资本成本估计</w:t>
      </w:r>
    </w:p>
    <w:p>
      <w:pPr>
        <w:pStyle w:val="BodyText"/>
        <w:ind w:left="503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7.11    </w:t>
      </w:r>
      <w:r>
        <w:rPr>
          <w:spacing w:val="-1"/>
        </w:rPr>
        <w:t>融资成本和加权平均资本成本</w:t>
      </w:r>
    </w:p>
    <w:p>
      <w:pPr>
        <w:pStyle w:val="BodyText"/>
        <w:ind w:left="506"/>
        <w:spacing w:before="183" w:line="219" w:lineRule="auto"/>
        <w:outlineLvl w:val="0"/>
        <w:rPr/>
      </w:pPr>
      <w:r>
        <w:rPr>
          <w:b/>
          <w:bCs/>
          <w:spacing w:val="-2"/>
        </w:rPr>
        <w:t>第八章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有效资本市场和行为挑战</w:t>
      </w:r>
    </w:p>
    <w:p>
      <w:pPr>
        <w:pStyle w:val="BodyText"/>
        <w:ind w:left="509"/>
        <w:spacing w:before="181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8.1    </w:t>
      </w:r>
      <w:r>
        <w:rPr>
          <w:spacing w:val="-1"/>
        </w:rPr>
        <w:t>融资决策能创造价值吗</w:t>
      </w:r>
    </w:p>
    <w:p>
      <w:pPr>
        <w:pStyle w:val="BodyText"/>
        <w:ind w:left="509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8.2    </w:t>
      </w:r>
      <w:r>
        <w:rPr>
          <w:spacing w:val="-1"/>
        </w:rPr>
        <w:t>有效资本市场的描述</w:t>
      </w:r>
    </w:p>
    <w:p>
      <w:pPr>
        <w:pStyle w:val="BodyText"/>
        <w:ind w:left="50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8.3    </w:t>
      </w:r>
      <w:r>
        <w:rPr>
          <w:spacing w:val="-1"/>
        </w:rPr>
        <w:t>有效市场的类型</w:t>
      </w:r>
    </w:p>
    <w:p>
      <w:pPr>
        <w:pStyle w:val="BodyText"/>
        <w:ind w:left="50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8.4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4"/>
        </w:rPr>
        <w:t>证据</w:t>
      </w:r>
    </w:p>
    <w:p>
      <w:pPr>
        <w:pStyle w:val="BodyText"/>
        <w:ind w:left="50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8.5    </w:t>
      </w:r>
      <w:r>
        <w:rPr>
          <w:spacing w:val="-1"/>
        </w:rPr>
        <w:t>行为理论对市场有效性的挑战</w:t>
      </w:r>
    </w:p>
    <w:p>
      <w:pPr>
        <w:pStyle w:val="BodyText"/>
        <w:ind w:left="50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8.6    </w:t>
      </w:r>
      <w:r>
        <w:rPr>
          <w:spacing w:val="-1"/>
        </w:rPr>
        <w:t>经验证据对市场有效性的挑战</w:t>
      </w:r>
    </w:p>
    <w:p>
      <w:pPr>
        <w:pStyle w:val="BodyText"/>
        <w:ind w:left="509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8.7    </w:t>
      </w:r>
      <w:r>
        <w:rPr>
          <w:spacing w:val="-1"/>
        </w:rPr>
        <w:t>关于二者差异的评论</w:t>
      </w:r>
    </w:p>
    <w:p>
      <w:pPr>
        <w:pStyle w:val="BodyText"/>
        <w:ind w:left="50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8.8    </w:t>
      </w:r>
      <w:r>
        <w:rPr>
          <w:spacing w:val="-1"/>
        </w:rPr>
        <w:t>对公司理财的意义</w:t>
      </w:r>
    </w:p>
    <w:p>
      <w:pPr>
        <w:pStyle w:val="BodyText"/>
        <w:ind w:left="506"/>
        <w:spacing w:before="179" w:line="219" w:lineRule="auto"/>
        <w:outlineLvl w:val="0"/>
        <w:rPr/>
      </w:pPr>
      <w:r>
        <w:rPr>
          <w:b/>
          <w:bCs/>
          <w:spacing w:val="-3"/>
        </w:rPr>
        <w:t>第九章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资本结构：基本概念</w:t>
      </w:r>
    </w:p>
    <w:p>
      <w:pPr>
        <w:pStyle w:val="BodyText"/>
        <w:ind w:left="504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9.1    </w:t>
      </w:r>
      <w:r>
        <w:rPr>
          <w:spacing w:val="-1"/>
        </w:rPr>
        <w:t>资本结构问题和馅饼理论</w:t>
      </w:r>
    </w:p>
    <w:p>
      <w:pPr>
        <w:pStyle w:val="BodyText"/>
        <w:ind w:left="504"/>
        <w:spacing w:before="182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9.2    </w:t>
      </w:r>
      <w:r>
        <w:rPr>
          <w:spacing w:val="-1"/>
        </w:rPr>
        <w:t>企业价值的最大化与股东财富价值的最大化</w:t>
      </w:r>
    </w:p>
    <w:p>
      <w:pPr>
        <w:pStyle w:val="BodyText"/>
        <w:ind w:left="504"/>
        <w:spacing w:before="185" w:line="218" w:lineRule="auto"/>
        <w:rPr/>
      </w:pPr>
      <w:r>
        <w:rPr>
          <w:rFonts w:ascii="Times New Roman" w:hAnsi="Times New Roman" w:eastAsia="Times New Roman" w:cs="Times New Roman"/>
          <w:spacing w:val="-1"/>
        </w:rPr>
        <w:t>9.3    </w:t>
      </w:r>
      <w:r>
        <w:rPr>
          <w:spacing w:val="-1"/>
        </w:rPr>
        <w:t>财务杠杆和企业价值：一个例子</w:t>
      </w:r>
    </w:p>
    <w:p>
      <w:pPr>
        <w:pStyle w:val="BodyText"/>
        <w:ind w:left="504" w:right="3475"/>
        <w:spacing w:before="185" w:line="289" w:lineRule="auto"/>
        <w:rPr/>
      </w:pPr>
      <w:r>
        <w:rPr>
          <w:rFonts w:ascii="Times New Roman" w:hAnsi="Times New Roman" w:eastAsia="Times New Roman" w:cs="Times New Roman"/>
          <w:spacing w:val="-1"/>
        </w:rPr>
        <w:t>9.4    </w:t>
      </w:r>
      <w:r>
        <w:rPr>
          <w:spacing w:val="-1"/>
        </w:rPr>
        <w:t>莫迪利亚尼和米勒：命题Ⅱ</w:t>
      </w:r>
      <w:r>
        <w:rPr>
          <w:spacing w:val="-2"/>
        </w:rPr>
        <w:t>（无税）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9.5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3"/>
        </w:rPr>
        <w:t>税</w:t>
      </w:r>
    </w:p>
    <w:p>
      <w:pPr>
        <w:pStyle w:val="BodyText"/>
        <w:ind w:left="506"/>
        <w:spacing w:before="181" w:line="219" w:lineRule="auto"/>
        <w:outlineLvl w:val="0"/>
        <w:rPr/>
      </w:pPr>
      <w:r>
        <w:rPr>
          <w:b/>
          <w:bCs/>
          <w:spacing w:val="-2"/>
        </w:rPr>
        <w:t>第十章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资本结构：债务运用的限制</w:t>
      </w:r>
    </w:p>
    <w:p>
      <w:pPr>
        <w:pStyle w:val="BodyText"/>
        <w:ind w:left="522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10.1    </w:t>
      </w:r>
      <w:r>
        <w:rPr>
          <w:spacing w:val="-2"/>
        </w:rPr>
        <w:t>财务困境成本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10.2    </w:t>
      </w:r>
      <w:r>
        <w:rPr>
          <w:spacing w:val="-2"/>
        </w:rPr>
        <w:t>财务困境成本的种类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10.3    </w:t>
      </w:r>
      <w:r>
        <w:rPr>
          <w:spacing w:val="-2"/>
        </w:rPr>
        <w:t>能够降低债务成本吗</w:t>
      </w:r>
    </w:p>
    <w:p>
      <w:pPr>
        <w:pStyle w:val="BodyText"/>
        <w:ind w:left="5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10.4    </w:t>
      </w:r>
      <w:r>
        <w:rPr>
          <w:spacing w:val="-2"/>
        </w:rPr>
        <w:t>税收和财务困境成本的综合影响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10.5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6"/>
        </w:rPr>
        <w:t>信号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10.6    </w:t>
      </w:r>
      <w:r>
        <w:rPr>
          <w:spacing w:val="-1"/>
        </w:rPr>
        <w:t>偷懒、在职消费与有害投资：一个关于权益代理成本的注释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10.7    </w:t>
      </w:r>
      <w:r>
        <w:rPr>
          <w:spacing w:val="-3"/>
        </w:rPr>
        <w:t>优序融资理论</w:t>
      </w:r>
    </w:p>
    <w:p>
      <w:pPr>
        <w:pStyle w:val="BodyText"/>
        <w:ind w:left="52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10.8    </w:t>
      </w:r>
      <w:r>
        <w:rPr>
          <w:spacing w:val="-3"/>
        </w:rPr>
        <w:t>个人所得税</w:t>
      </w:r>
    </w:p>
    <w:p>
      <w:pPr>
        <w:pStyle w:val="BodyText"/>
        <w:ind w:left="522"/>
        <w:spacing w:before="18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10.9    </w:t>
      </w:r>
      <w:r>
        <w:rPr>
          <w:spacing w:val="-2"/>
        </w:rPr>
        <w:t>公司如何确定资本结构</w:t>
      </w:r>
    </w:p>
    <w:p>
      <w:pPr>
        <w:pStyle w:val="BodyText"/>
        <w:ind w:left="506"/>
        <w:spacing w:before="184" w:line="218" w:lineRule="auto"/>
        <w:outlineLvl w:val="0"/>
        <w:rPr/>
      </w:pPr>
      <w:r>
        <w:rPr>
          <w:b/>
          <w:bCs/>
          <w:spacing w:val="-2"/>
        </w:rPr>
        <w:t>第十一章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杠杆企业的估值与资本预算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11.1    </w:t>
      </w:r>
      <w:r>
        <w:rPr>
          <w:spacing w:val="-3"/>
        </w:rPr>
        <w:t>调整净现值法</w:t>
      </w:r>
    </w:p>
    <w:p>
      <w:pPr>
        <w:spacing w:line="220" w:lineRule="auto"/>
        <w:sectPr>
          <w:pgSz w:w="11907" w:h="16839"/>
          <w:pgMar w:top="1428" w:right="1785" w:bottom="0" w:left="1785" w:header="0" w:footer="0" w:gutter="0"/>
        </w:sectPr>
        <w:rPr/>
      </w:pPr>
    </w:p>
    <w:p>
      <w:pPr>
        <w:pStyle w:val="BodyText"/>
        <w:ind w:left="522"/>
        <w:spacing w:before="4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11.2    </w:t>
      </w:r>
      <w:r>
        <w:rPr>
          <w:spacing w:val="-3"/>
        </w:rPr>
        <w:t>权益现金流量法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11.3    </w:t>
      </w:r>
      <w:r>
        <w:rPr>
          <w:spacing w:val="-3"/>
        </w:rPr>
        <w:t>加权平均资本成本法</w:t>
      </w:r>
    </w:p>
    <w:p>
      <w:pPr>
        <w:pStyle w:val="BodyText"/>
        <w:ind w:left="522"/>
        <w:spacing w:before="180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11.4    APV </w:t>
      </w:r>
      <w:r>
        <w:rPr>
          <w:spacing w:val="-3"/>
        </w:rPr>
        <w:t>法、</w:t>
      </w:r>
      <w:r>
        <w:rPr>
          <w:rFonts w:ascii="Times New Roman" w:hAnsi="Times New Roman" w:eastAsia="Times New Roman" w:cs="Times New Roman"/>
          <w:spacing w:val="-3"/>
        </w:rPr>
        <w:t>FTE </w:t>
      </w:r>
      <w:r>
        <w:rPr>
          <w:spacing w:val="-3"/>
        </w:rPr>
        <w:t>法和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WACC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3"/>
        </w:rPr>
        <w:t>法的比较</w:t>
      </w:r>
    </w:p>
    <w:p>
      <w:pPr>
        <w:pStyle w:val="BodyText"/>
        <w:ind w:left="522"/>
        <w:spacing w:before="179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11.5    </w:t>
      </w:r>
      <w:r>
        <w:rPr>
          <w:spacing w:val="-2"/>
        </w:rPr>
        <w:t>折现率需要估算的估值方法</w:t>
      </w:r>
    </w:p>
    <w:p>
      <w:pPr>
        <w:pStyle w:val="BodyText"/>
        <w:ind w:left="52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11.6    APV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4"/>
        </w:rPr>
        <w:t>法举例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11.7</w:t>
      </w:r>
      <w:r>
        <w:rPr>
          <w:rFonts w:ascii="Times New Roman" w:hAnsi="Times New Roman" w:eastAsia="Times New Roman" w:cs="Times New Roman"/>
          <w:spacing w:val="7"/>
        </w:rPr>
        <w:t xml:space="preserve">    </w:t>
      </w:r>
      <w:r>
        <w:rPr>
          <w:spacing w:val="-5"/>
        </w:rPr>
        <w:t>贝塔系数与财务杠杆</w:t>
      </w:r>
    </w:p>
    <w:p>
      <w:pPr>
        <w:pStyle w:val="BodyText"/>
        <w:ind w:left="506"/>
        <w:spacing w:before="180" w:line="219" w:lineRule="auto"/>
        <w:outlineLvl w:val="0"/>
        <w:rPr/>
      </w:pPr>
      <w:r>
        <w:rPr>
          <w:b/>
          <w:bCs/>
          <w:spacing w:val="-2"/>
        </w:rPr>
        <w:t>第十二章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股利政策和其他支付政策</w:t>
      </w:r>
    </w:p>
    <w:p>
      <w:pPr>
        <w:pStyle w:val="BodyText"/>
        <w:ind w:left="52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12.1    </w:t>
      </w:r>
      <w:r>
        <w:rPr>
          <w:spacing w:val="-2"/>
        </w:rPr>
        <w:t>股利的不同种类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12.2    </w:t>
      </w:r>
      <w:r>
        <w:rPr>
          <w:spacing w:val="-2"/>
        </w:rPr>
        <w:t>发放现金股利的标准程序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12.3    </w:t>
      </w:r>
      <w:r>
        <w:rPr>
          <w:spacing w:val="-2"/>
        </w:rPr>
        <w:t>基准案例：股利无关论的解释</w:t>
      </w:r>
    </w:p>
    <w:p>
      <w:pPr>
        <w:pStyle w:val="BodyText"/>
        <w:ind w:left="522"/>
        <w:spacing w:before="179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12.4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5"/>
        </w:rPr>
        <w:t>股票回购</w:t>
      </w:r>
    </w:p>
    <w:p>
      <w:pPr>
        <w:pStyle w:val="BodyText"/>
        <w:ind w:left="52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12.5    </w:t>
      </w:r>
      <w:r>
        <w:rPr>
          <w:spacing w:val="-2"/>
        </w:rPr>
        <w:t>个人所得税、股利与股票回购</w:t>
      </w:r>
    </w:p>
    <w:p>
      <w:pPr>
        <w:pStyle w:val="BodyText"/>
        <w:ind w:left="522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12.6    </w:t>
      </w:r>
      <w:r>
        <w:rPr>
          <w:spacing w:val="-2"/>
        </w:rPr>
        <w:t>偏好高股利政策的现实因素</w:t>
      </w:r>
    </w:p>
    <w:p>
      <w:pPr>
        <w:pStyle w:val="BodyText"/>
        <w:ind w:left="52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12.7    </w:t>
      </w:r>
      <w:r>
        <w:rPr>
          <w:spacing w:val="-7"/>
        </w:rPr>
        <w:t>客户效应：现实问题的解决？</w:t>
      </w:r>
    </w:p>
    <w:p>
      <w:pPr>
        <w:pStyle w:val="BodyText"/>
        <w:ind w:left="52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12.8    </w:t>
      </w:r>
      <w:r>
        <w:rPr>
          <w:spacing w:val="-2"/>
        </w:rPr>
        <w:t>我们所了解的和不了解的股利政策</w:t>
      </w:r>
    </w:p>
    <w:p>
      <w:pPr>
        <w:pStyle w:val="BodyText"/>
        <w:ind w:left="522"/>
        <w:spacing w:before="181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12.9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5"/>
        </w:rPr>
        <w:t>融会贯通</w:t>
      </w:r>
    </w:p>
    <w:p>
      <w:pPr>
        <w:pStyle w:val="BodyText"/>
        <w:ind w:left="522"/>
        <w:spacing w:before="2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12.10  </w:t>
      </w:r>
      <w:r>
        <w:rPr>
          <w:spacing w:val="-2"/>
        </w:rPr>
        <w:t>股票股利与股票拆细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8"/>
        <w:spacing w:before="79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31" w:right="12" w:firstLine="472"/>
        <w:spacing w:before="186" w:line="346" w:lineRule="auto"/>
        <w:rPr/>
      </w:pPr>
      <w:r>
        <w:rPr>
          <w:spacing w:val="-4"/>
        </w:rPr>
        <w:t>满分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分，其中金融学部分分值为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90 </w:t>
      </w:r>
      <w:r>
        <w:rPr>
          <w:spacing w:val="-4"/>
        </w:rPr>
        <w:t>分，公司理财部分分值为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 </w:t>
      </w:r>
      <w:r>
        <w:rPr>
          <w:spacing w:val="-4"/>
        </w:rPr>
        <w:t>分。题</w:t>
      </w:r>
      <w:r>
        <w:rPr/>
        <w:t xml:space="preserve"> </w:t>
      </w:r>
      <w:r>
        <w:rPr>
          <w:spacing w:val="-1"/>
        </w:rPr>
        <w:t>型分为名词解释、简答题和论述题三种类型，分别占：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分、</w:t>
      </w:r>
      <w:r>
        <w:rPr>
          <w:rFonts w:ascii="Times New Roman" w:hAnsi="Times New Roman" w:eastAsia="Times New Roman" w:cs="Times New Roman"/>
          <w:spacing w:val="-1"/>
        </w:rPr>
        <w:t>90 </w:t>
      </w:r>
      <w:r>
        <w:rPr>
          <w:spacing w:val="-1"/>
        </w:rPr>
        <w:t>分和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分。</w:t>
      </w:r>
    </w:p>
    <w:p>
      <w:pPr>
        <w:ind w:left="30"/>
        <w:spacing w:before="35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五、参考书目</w:t>
      </w:r>
    </w:p>
    <w:p>
      <w:pPr>
        <w:pStyle w:val="BodyText"/>
        <w:ind w:left="42" w:right="14" w:firstLine="479"/>
        <w:spacing w:before="103" w:line="290" w:lineRule="auto"/>
        <w:rPr/>
      </w:pP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2"/>
        </w:rPr>
        <w:t>．王常柏主编．《金融学概论》（第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3 </w:t>
      </w:r>
      <w:r>
        <w:rPr>
          <w:spacing w:val="-12"/>
        </w:rPr>
        <w:t>版</w:t>
      </w:r>
      <w:r>
        <w:rPr>
          <w:spacing w:val="-19"/>
        </w:rPr>
        <w:t>）．</w:t>
      </w:r>
      <w:r>
        <w:rPr>
          <w:spacing w:val="-12"/>
        </w:rPr>
        <w:t>中国人民大学出版社， </w:t>
      </w:r>
      <w:r>
        <w:rPr>
          <w:rFonts w:ascii="Times New Roman" w:hAnsi="Times New Roman" w:eastAsia="Times New Roman" w:cs="Times New Roman"/>
          <w:spacing w:val="-12"/>
        </w:rPr>
        <w:t>2021 </w:t>
      </w:r>
      <w:r>
        <w:rPr>
          <w:spacing w:val="-12"/>
        </w:rPr>
        <w:t>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0"/>
        </w:rPr>
        <w:t>10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0"/>
        </w:rPr>
        <w:t>月</w:t>
      </w:r>
    </w:p>
    <w:p>
      <w:pPr>
        <w:pStyle w:val="BodyText"/>
        <w:ind w:left="24" w:right="117" w:firstLine="474"/>
        <w:spacing w:before="263" w:line="289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．</w:t>
      </w:r>
      <w:r>
        <w:rPr>
          <w:rFonts w:ascii="Times New Roman" w:hAnsi="Times New Roman" w:eastAsia="Times New Roman" w:cs="Times New Roman"/>
          <w:spacing w:val="-8"/>
        </w:rPr>
        <w:t>[</w:t>
      </w:r>
      <w:r>
        <w:rPr>
          <w:spacing w:val="-8"/>
        </w:rPr>
        <w:t>美</w:t>
      </w:r>
      <w:r>
        <w:rPr>
          <w:rFonts w:ascii="Times New Roman" w:hAnsi="Times New Roman" w:eastAsia="Times New Roman" w:cs="Times New Roman"/>
          <w:spacing w:val="-8"/>
        </w:rPr>
        <w:t>]</w:t>
      </w:r>
      <w:r>
        <w:rPr>
          <w:spacing w:val="-8"/>
        </w:rPr>
        <w:t>斯蒂芬 </w:t>
      </w:r>
      <w:r>
        <w:rPr>
          <w:rFonts w:ascii="Times New Roman" w:hAnsi="Times New Roman" w:eastAsia="Times New Roman" w:cs="Times New Roman"/>
          <w:spacing w:val="-8"/>
        </w:rPr>
        <w:t>A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．罗斯（</w:t>
      </w:r>
      <w:r>
        <w:rPr>
          <w:rFonts w:ascii="Times New Roman" w:hAnsi="Times New Roman" w:eastAsia="Times New Roman" w:cs="Times New Roman"/>
          <w:spacing w:val="-8"/>
        </w:rPr>
        <w:t>Stephen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A.</w:t>
      </w:r>
      <w:r>
        <w:rPr>
          <w:rFonts w:ascii="Times New Roman" w:hAnsi="Times New Roman" w:eastAsia="Times New Roman" w:cs="Times New Roman"/>
          <w:spacing w:val="-9"/>
        </w:rPr>
        <w:t xml:space="preserve"> Ross</w:t>
      </w:r>
      <w:r>
        <w:rPr>
          <w:spacing w:val="-9"/>
        </w:rPr>
        <w:t>）等著．《公司理财》（原书第 </w:t>
      </w:r>
      <w:r>
        <w:rPr>
          <w:rFonts w:ascii="Times New Roman" w:hAnsi="Times New Roman" w:eastAsia="Times New Roman" w:cs="Times New Roman"/>
          <w:spacing w:val="-9"/>
        </w:rPr>
        <w:t>11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版</w:t>
      </w:r>
      <w:r>
        <w:rPr>
          <w:spacing w:val="-32"/>
        </w:rPr>
        <w:t>）．</w:t>
      </w:r>
      <w:r>
        <w:rPr>
          <w:spacing w:val="-4"/>
        </w:rPr>
        <w:t>机械工业出版社， </w:t>
      </w:r>
      <w:r>
        <w:rPr>
          <w:rFonts w:ascii="Times New Roman" w:hAnsi="Times New Roman" w:eastAsia="Times New Roman" w:cs="Times New Roman"/>
          <w:spacing w:val="-4"/>
        </w:rPr>
        <w:t>2017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07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月</w:t>
      </w:r>
    </w:p>
    <w:sectPr>
      <w:pgSz w:w="11907" w:h="16839"/>
      <w:pgMar w:top="1428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2024-09-29T10:53:28Z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2024-10-11T22:23:11</vt:filetime>
  </property>
</Properties>
</file>