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5"/>
        <w:gridCol w:w="12541"/>
      </w:tblGrid>
      <w:tr w14:paraId="12A98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16" w:type="dxa"/>
            <w:gridSpan w:val="2"/>
            <w:noWrap w:val="0"/>
            <w:vAlign w:val="top"/>
          </w:tcPr>
          <w:p w14:paraId="66439BBE">
            <w:pPr>
              <w:pStyle w:val="6"/>
              <w:shd w:val="clear" w:color="auto" w:fill="FFFFFF"/>
              <w:spacing w:before="0" w:beforeLines="0" w:beforeAutospacing="0" w:after="0" w:afterLines="0" w:afterAutospacing="0"/>
              <w:jc w:val="center"/>
              <w:rPr>
                <w:rFonts w:ascii="仿宋" w:hAnsi="仿宋" w:eastAsia="仿宋"/>
                <w:b/>
                <w:color w:val="333333"/>
                <w:sz w:val="32"/>
                <w:szCs w:val="32"/>
              </w:rPr>
            </w:pPr>
            <w:bookmarkStart w:id="0" w:name="_GoBack"/>
            <w:bookmarkEnd w:id="0"/>
            <w:r>
              <w:rPr>
                <w:rFonts w:hint="eastAsia" w:ascii="仿宋" w:hAnsi="仿宋" w:eastAsia="仿宋"/>
                <w:b/>
                <w:color w:val="333333"/>
                <w:sz w:val="32"/>
                <w:szCs w:val="32"/>
              </w:rPr>
              <w:t>《重力选矿》考试大纲</w:t>
            </w:r>
          </w:p>
          <w:p w14:paraId="3C9CA96B">
            <w:pPr>
              <w:rPr>
                <w:rFonts w:ascii="??" w:hAnsi="??" w:cs="宋体"/>
                <w:color w:val="333333"/>
                <w:sz w:val="18"/>
                <w:szCs w:val="18"/>
              </w:rPr>
            </w:pPr>
            <w:r>
              <w:rPr>
                <w:rFonts w:hint="eastAsia" w:ascii="??" w:hAnsi="??" w:cs="宋体"/>
                <w:b/>
                <w:color w:val="333333"/>
                <w:szCs w:val="21"/>
              </w:rPr>
              <w:t>适用专业名称</w:t>
            </w:r>
            <w:r>
              <w:rPr>
                <w:rFonts w:hint="eastAsia" w:ascii="??" w:hAnsi="??" w:cs="宋体"/>
                <w:b/>
                <w:color w:val="333333"/>
                <w:sz w:val="18"/>
                <w:szCs w:val="18"/>
              </w:rPr>
              <w:t>：</w:t>
            </w:r>
            <w:r>
              <w:rPr>
                <w:rFonts w:hint="eastAsia" w:ascii="??" w:hAnsi="??" w:cs="宋体"/>
                <w:b/>
                <w:color w:val="333333"/>
                <w:szCs w:val="21"/>
              </w:rPr>
              <w:t>矿业工程-矿物加工工程</w:t>
            </w:r>
          </w:p>
        </w:tc>
      </w:tr>
      <w:tr w14:paraId="01581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75" w:type="dxa"/>
            <w:noWrap w:val="0"/>
            <w:vAlign w:val="top"/>
          </w:tcPr>
          <w:p w14:paraId="09ED6DF8">
            <w:pPr>
              <w:jc w:val="center"/>
              <w:rPr>
                <w:rFonts w:ascii="宋体" w:cs="宋体"/>
                <w:b/>
                <w:szCs w:val="21"/>
              </w:rPr>
            </w:pPr>
            <w:r>
              <w:rPr>
                <w:rFonts w:hint="eastAsia"/>
                <w:b/>
                <w:szCs w:val="21"/>
              </w:rPr>
              <w:t>科目代码及名称</w:t>
            </w:r>
          </w:p>
        </w:tc>
        <w:tc>
          <w:tcPr>
            <w:tcW w:w="12541" w:type="dxa"/>
            <w:noWrap w:val="0"/>
            <w:vAlign w:val="top"/>
          </w:tcPr>
          <w:p w14:paraId="1346E815">
            <w:pPr>
              <w:jc w:val="center"/>
              <w:rPr>
                <w:b/>
                <w:szCs w:val="21"/>
              </w:rPr>
            </w:pPr>
            <w:r>
              <w:rPr>
                <w:rFonts w:hint="eastAsia"/>
                <w:b/>
                <w:szCs w:val="21"/>
              </w:rPr>
              <w:t>考试大纲</w:t>
            </w:r>
            <w:r>
              <w:rPr>
                <w:b/>
                <w:szCs w:val="21"/>
              </w:rPr>
              <w:t xml:space="preserve"> </w:t>
            </w:r>
          </w:p>
        </w:tc>
      </w:tr>
      <w:tr w14:paraId="32D5E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1175" w:type="dxa"/>
            <w:noWrap w:val="0"/>
            <w:vAlign w:val="top"/>
          </w:tcPr>
          <w:p w14:paraId="4E3012FE">
            <w:pPr>
              <w:jc w:val="left"/>
              <w:rPr>
                <w:b/>
                <w:sz w:val="21"/>
                <w:szCs w:val="21"/>
              </w:rPr>
            </w:pPr>
            <w:r>
              <w:rPr>
                <w:rFonts w:hint="eastAsia"/>
                <w:b/>
                <w:sz w:val="21"/>
                <w:szCs w:val="21"/>
                <w:lang w:val="en-US" w:eastAsia="zh-CN"/>
              </w:rPr>
              <w:t>56</w:t>
            </w:r>
            <w:r>
              <w:rPr>
                <w:rFonts w:hint="eastAsia"/>
                <w:b/>
                <w:sz w:val="21"/>
                <w:szCs w:val="21"/>
              </w:rPr>
              <w:t>重力选矿</w:t>
            </w:r>
          </w:p>
          <w:p w14:paraId="2BE209FE">
            <w:pPr>
              <w:rPr>
                <w:b/>
                <w:sz w:val="18"/>
                <w:szCs w:val="18"/>
              </w:rPr>
            </w:pPr>
          </w:p>
        </w:tc>
        <w:tc>
          <w:tcPr>
            <w:tcW w:w="12541" w:type="dxa"/>
            <w:noWrap w:val="0"/>
            <w:vAlign w:val="top"/>
          </w:tcPr>
          <w:p w14:paraId="4D96E6D9">
            <w:pPr>
              <w:pStyle w:val="14"/>
              <w:numPr>
                <w:ilvl w:val="0"/>
                <w:numId w:val="1"/>
              </w:numPr>
              <w:ind w:firstLineChars="0"/>
              <w:rPr>
                <w:b/>
                <w:sz w:val="18"/>
                <w:szCs w:val="18"/>
              </w:rPr>
            </w:pPr>
            <w:r>
              <w:rPr>
                <w:rFonts w:hint="eastAsia"/>
                <w:b/>
                <w:sz w:val="18"/>
                <w:szCs w:val="18"/>
              </w:rPr>
              <w:t>考试目的与要求</w:t>
            </w:r>
          </w:p>
          <w:p w14:paraId="10FFFAFC">
            <w:pPr>
              <w:pStyle w:val="13"/>
              <w:ind w:left="420" w:leftChars="200" w:firstLine="360"/>
              <w:rPr>
                <w:rFonts w:hint="eastAsia"/>
                <w:sz w:val="18"/>
                <w:szCs w:val="18"/>
              </w:rPr>
            </w:pPr>
            <w:r>
              <w:rPr>
                <w:rFonts w:hint="eastAsia"/>
                <w:sz w:val="18"/>
                <w:szCs w:val="18"/>
              </w:rPr>
              <w:t>测试考生对《重力选矿》课程基本内容的掌握情况。测试的主要内容包括：全面掌握重力选矿的基本理论、分析工程实际中原矿物理性质，及对其数据进行分析，评定其可选性，能够合理进行选矿方法的选择，能够掌握选矿实际生产资料数据的分析、能够对重选工艺效果进行评定；跳汰选、重介选等分选过程及其分选设备结构、性能及主要技术指标等内容。要求考生对重力选矿的基本分选原理、基本理论有比较全面的认识，对跳汰选、重介分选等选矿方法的选择、计算、曲线绘制、应用等全面掌握。要求考生能够掌握相关基本概念、原理、设备、性能及主要技术指标、工艺流程等，具备对重力选矿基本理论和方法的运用能力；准确记忆，理解基本理论，并能妥善运用到综合分析题目。</w:t>
            </w:r>
          </w:p>
          <w:p w14:paraId="2E50B78D">
            <w:pPr>
              <w:pStyle w:val="13"/>
              <w:ind w:left="420" w:leftChars="200" w:firstLine="360"/>
              <w:rPr>
                <w:rFonts w:hint="eastAsia"/>
                <w:sz w:val="18"/>
                <w:szCs w:val="18"/>
              </w:rPr>
            </w:pPr>
          </w:p>
          <w:p w14:paraId="36B7B77C">
            <w:pPr>
              <w:pStyle w:val="14"/>
              <w:numPr>
                <w:ilvl w:val="0"/>
                <w:numId w:val="1"/>
              </w:numPr>
              <w:ind w:firstLineChars="0"/>
              <w:rPr>
                <w:sz w:val="18"/>
                <w:szCs w:val="18"/>
              </w:rPr>
            </w:pPr>
            <w:r>
              <w:rPr>
                <w:rFonts w:hint="eastAsia"/>
                <w:b/>
                <w:sz w:val="18"/>
                <w:szCs w:val="18"/>
              </w:rPr>
              <w:t>试卷结构</w:t>
            </w:r>
            <w:r>
              <w:rPr>
                <w:rFonts w:hint="eastAsia"/>
                <w:sz w:val="18"/>
                <w:szCs w:val="18"/>
              </w:rPr>
              <w:t>（满分</w:t>
            </w:r>
            <w:r>
              <w:rPr>
                <w:sz w:val="18"/>
                <w:szCs w:val="18"/>
              </w:rPr>
              <w:t>1</w:t>
            </w:r>
            <w:r>
              <w:rPr>
                <w:rFonts w:hint="eastAsia"/>
                <w:sz w:val="18"/>
                <w:szCs w:val="18"/>
              </w:rPr>
              <w:t>0</w:t>
            </w:r>
            <w:r>
              <w:rPr>
                <w:sz w:val="18"/>
                <w:szCs w:val="18"/>
              </w:rPr>
              <w:t>0</w:t>
            </w:r>
            <w:r>
              <w:rPr>
                <w:rFonts w:hint="eastAsia"/>
                <w:sz w:val="18"/>
                <w:szCs w:val="18"/>
              </w:rPr>
              <w:t>分）</w:t>
            </w:r>
          </w:p>
          <w:p w14:paraId="0F5CF1C1">
            <w:pPr>
              <w:pStyle w:val="14"/>
              <w:ind w:left="420" w:firstLine="0" w:firstLineChars="0"/>
              <w:rPr>
                <w:sz w:val="18"/>
                <w:szCs w:val="18"/>
              </w:rPr>
            </w:pPr>
            <w:r>
              <w:rPr>
                <w:rFonts w:hint="eastAsia"/>
                <w:sz w:val="18"/>
                <w:szCs w:val="18"/>
              </w:rPr>
              <w:t>内容比例：</w:t>
            </w:r>
            <w:r>
              <w:rPr>
                <w:sz w:val="18"/>
                <w:szCs w:val="18"/>
              </w:rPr>
              <w:t xml:space="preserve"> </w:t>
            </w:r>
          </w:p>
          <w:tbl>
            <w:tblPr>
              <w:tblStyle w:val="7"/>
              <w:tblW w:w="0" w:type="auto"/>
              <w:tblInd w:w="420" w:type="dxa"/>
              <w:tblLayout w:type="fixed"/>
              <w:tblCellMar>
                <w:top w:w="0" w:type="dxa"/>
                <w:left w:w="108" w:type="dxa"/>
                <w:bottom w:w="0" w:type="dxa"/>
                <w:right w:w="108" w:type="dxa"/>
              </w:tblCellMar>
            </w:tblPr>
            <w:tblGrid>
              <w:gridCol w:w="2591"/>
              <w:gridCol w:w="1667"/>
            </w:tblGrid>
            <w:tr w14:paraId="2A6D9C9F">
              <w:tblPrEx>
                <w:tblCellMar>
                  <w:top w:w="0" w:type="dxa"/>
                  <w:left w:w="108" w:type="dxa"/>
                  <w:bottom w:w="0" w:type="dxa"/>
                  <w:right w:w="108" w:type="dxa"/>
                </w:tblCellMar>
              </w:tblPrEx>
              <w:tc>
                <w:tcPr>
                  <w:tcW w:w="2591" w:type="dxa"/>
                  <w:noWrap w:val="0"/>
                  <w:vAlign w:val="top"/>
                </w:tcPr>
                <w:p w14:paraId="57130CD0">
                  <w:pPr>
                    <w:pStyle w:val="14"/>
                    <w:ind w:firstLine="0" w:firstLineChars="0"/>
                    <w:rPr>
                      <w:sz w:val="18"/>
                      <w:szCs w:val="18"/>
                    </w:rPr>
                  </w:pPr>
                  <w:r>
                    <w:rPr>
                      <w:rFonts w:hint="eastAsia"/>
                      <w:sz w:val="18"/>
                      <w:szCs w:val="18"/>
                    </w:rPr>
                    <w:t>绪论</w:t>
                  </w:r>
                </w:p>
              </w:tc>
              <w:tc>
                <w:tcPr>
                  <w:tcW w:w="1667" w:type="dxa"/>
                  <w:noWrap w:val="0"/>
                  <w:vAlign w:val="top"/>
                </w:tcPr>
                <w:p w14:paraId="36582ABB">
                  <w:pPr>
                    <w:pStyle w:val="14"/>
                    <w:ind w:firstLine="0" w:firstLineChars="0"/>
                    <w:rPr>
                      <w:sz w:val="18"/>
                      <w:szCs w:val="18"/>
                    </w:rPr>
                  </w:pPr>
                  <w:r>
                    <w:rPr>
                      <w:rFonts w:hint="eastAsia"/>
                      <w:sz w:val="18"/>
                      <w:szCs w:val="18"/>
                    </w:rPr>
                    <w:t>约10分</w:t>
                  </w:r>
                </w:p>
              </w:tc>
            </w:tr>
            <w:tr w14:paraId="48524E30">
              <w:tblPrEx>
                <w:tblCellMar>
                  <w:top w:w="0" w:type="dxa"/>
                  <w:left w:w="108" w:type="dxa"/>
                  <w:bottom w:w="0" w:type="dxa"/>
                  <w:right w:w="108" w:type="dxa"/>
                </w:tblCellMar>
              </w:tblPrEx>
              <w:tc>
                <w:tcPr>
                  <w:tcW w:w="2591" w:type="dxa"/>
                  <w:noWrap w:val="0"/>
                  <w:vAlign w:val="top"/>
                </w:tcPr>
                <w:p w14:paraId="2EA98BFC">
                  <w:pPr>
                    <w:pStyle w:val="13"/>
                    <w:ind w:firstLine="0" w:firstLineChars="0"/>
                    <w:rPr>
                      <w:rFonts w:hint="eastAsia"/>
                      <w:sz w:val="18"/>
                      <w:szCs w:val="18"/>
                    </w:rPr>
                  </w:pPr>
                  <w:r>
                    <w:rPr>
                      <w:rFonts w:hint="eastAsia"/>
                      <w:sz w:val="18"/>
                      <w:szCs w:val="18"/>
                    </w:rPr>
                    <w:t>重力选矿的基本理论</w:t>
                  </w:r>
                </w:p>
              </w:tc>
              <w:tc>
                <w:tcPr>
                  <w:tcW w:w="1667" w:type="dxa"/>
                  <w:noWrap w:val="0"/>
                  <w:vAlign w:val="top"/>
                </w:tcPr>
                <w:p w14:paraId="3EFC5823">
                  <w:pPr>
                    <w:pStyle w:val="14"/>
                    <w:ind w:firstLine="0" w:firstLineChars="0"/>
                    <w:rPr>
                      <w:sz w:val="18"/>
                      <w:szCs w:val="18"/>
                    </w:rPr>
                  </w:pPr>
                  <w:r>
                    <w:rPr>
                      <w:rFonts w:hint="eastAsia"/>
                      <w:sz w:val="18"/>
                      <w:szCs w:val="18"/>
                    </w:rPr>
                    <w:t>约20分</w:t>
                  </w:r>
                </w:p>
              </w:tc>
            </w:tr>
            <w:tr w14:paraId="55CF3F60">
              <w:tblPrEx>
                <w:tblCellMar>
                  <w:top w:w="0" w:type="dxa"/>
                  <w:left w:w="108" w:type="dxa"/>
                  <w:bottom w:w="0" w:type="dxa"/>
                  <w:right w:w="108" w:type="dxa"/>
                </w:tblCellMar>
              </w:tblPrEx>
              <w:tc>
                <w:tcPr>
                  <w:tcW w:w="2591" w:type="dxa"/>
                  <w:noWrap w:val="0"/>
                  <w:vAlign w:val="top"/>
                </w:tcPr>
                <w:p w14:paraId="313637D5">
                  <w:pPr>
                    <w:pStyle w:val="13"/>
                    <w:ind w:firstLine="0" w:firstLineChars="0"/>
                    <w:rPr>
                      <w:rFonts w:hint="eastAsia"/>
                      <w:sz w:val="18"/>
                      <w:szCs w:val="18"/>
                    </w:rPr>
                  </w:pPr>
                  <w:r>
                    <w:rPr>
                      <w:rFonts w:hint="eastAsia"/>
                      <w:sz w:val="18"/>
                      <w:szCs w:val="18"/>
                    </w:rPr>
                    <w:t>物料的可选性</w:t>
                  </w:r>
                </w:p>
              </w:tc>
              <w:tc>
                <w:tcPr>
                  <w:tcW w:w="1667" w:type="dxa"/>
                  <w:noWrap w:val="0"/>
                  <w:vAlign w:val="top"/>
                </w:tcPr>
                <w:p w14:paraId="6FE07B0B">
                  <w:pPr>
                    <w:pStyle w:val="14"/>
                    <w:ind w:firstLine="0" w:firstLineChars="0"/>
                    <w:rPr>
                      <w:sz w:val="18"/>
                      <w:szCs w:val="18"/>
                    </w:rPr>
                  </w:pPr>
                  <w:r>
                    <w:rPr>
                      <w:rFonts w:hint="eastAsia"/>
                      <w:sz w:val="18"/>
                      <w:szCs w:val="18"/>
                    </w:rPr>
                    <w:t>约20分</w:t>
                  </w:r>
                </w:p>
              </w:tc>
            </w:tr>
            <w:tr w14:paraId="12E08A55">
              <w:tblPrEx>
                <w:tblCellMar>
                  <w:top w:w="0" w:type="dxa"/>
                  <w:left w:w="108" w:type="dxa"/>
                  <w:bottom w:w="0" w:type="dxa"/>
                  <w:right w:w="108" w:type="dxa"/>
                </w:tblCellMar>
              </w:tblPrEx>
              <w:tc>
                <w:tcPr>
                  <w:tcW w:w="2591" w:type="dxa"/>
                  <w:noWrap w:val="0"/>
                  <w:vAlign w:val="top"/>
                </w:tcPr>
                <w:p w14:paraId="51AF4FDD">
                  <w:pPr>
                    <w:pStyle w:val="13"/>
                    <w:ind w:firstLine="0" w:firstLineChars="0"/>
                    <w:rPr>
                      <w:rFonts w:hint="eastAsia"/>
                      <w:sz w:val="18"/>
                      <w:szCs w:val="18"/>
                    </w:rPr>
                  </w:pPr>
                  <w:r>
                    <w:rPr>
                      <w:rFonts w:hint="eastAsia"/>
                      <w:sz w:val="18"/>
                      <w:szCs w:val="18"/>
                    </w:rPr>
                    <w:t>重力选矿结果的统计规律</w:t>
                  </w:r>
                </w:p>
              </w:tc>
              <w:tc>
                <w:tcPr>
                  <w:tcW w:w="1667" w:type="dxa"/>
                  <w:noWrap w:val="0"/>
                  <w:vAlign w:val="top"/>
                </w:tcPr>
                <w:p w14:paraId="70518AE3">
                  <w:pPr>
                    <w:pStyle w:val="14"/>
                    <w:ind w:firstLine="0" w:firstLineChars="0"/>
                    <w:rPr>
                      <w:sz w:val="18"/>
                      <w:szCs w:val="18"/>
                    </w:rPr>
                  </w:pPr>
                  <w:r>
                    <w:rPr>
                      <w:rFonts w:hint="eastAsia"/>
                      <w:sz w:val="18"/>
                      <w:szCs w:val="18"/>
                    </w:rPr>
                    <w:t>约10分</w:t>
                  </w:r>
                </w:p>
              </w:tc>
            </w:tr>
            <w:tr w14:paraId="48DED56C">
              <w:tblPrEx>
                <w:tblCellMar>
                  <w:top w:w="0" w:type="dxa"/>
                  <w:left w:w="108" w:type="dxa"/>
                  <w:bottom w:w="0" w:type="dxa"/>
                  <w:right w:w="108" w:type="dxa"/>
                </w:tblCellMar>
              </w:tblPrEx>
              <w:tc>
                <w:tcPr>
                  <w:tcW w:w="2591" w:type="dxa"/>
                  <w:noWrap w:val="0"/>
                  <w:vAlign w:val="top"/>
                </w:tcPr>
                <w:p w14:paraId="0B7AE7F1">
                  <w:pPr>
                    <w:pStyle w:val="13"/>
                    <w:ind w:firstLine="0" w:firstLineChars="0"/>
                    <w:rPr>
                      <w:rFonts w:hint="eastAsia"/>
                      <w:sz w:val="18"/>
                      <w:szCs w:val="18"/>
                    </w:rPr>
                  </w:pPr>
                  <w:r>
                    <w:rPr>
                      <w:rFonts w:hint="eastAsia"/>
                      <w:sz w:val="18"/>
                      <w:szCs w:val="18"/>
                    </w:rPr>
                    <w:t>跳汰选矿</w:t>
                  </w:r>
                </w:p>
              </w:tc>
              <w:tc>
                <w:tcPr>
                  <w:tcW w:w="1667" w:type="dxa"/>
                  <w:noWrap w:val="0"/>
                  <w:vAlign w:val="top"/>
                </w:tcPr>
                <w:p w14:paraId="106720CD">
                  <w:pPr>
                    <w:pStyle w:val="14"/>
                    <w:ind w:firstLine="0" w:firstLineChars="0"/>
                    <w:rPr>
                      <w:sz w:val="18"/>
                      <w:szCs w:val="18"/>
                    </w:rPr>
                  </w:pPr>
                  <w:r>
                    <w:rPr>
                      <w:rFonts w:hint="eastAsia"/>
                      <w:sz w:val="18"/>
                      <w:szCs w:val="18"/>
                    </w:rPr>
                    <w:t>约15分</w:t>
                  </w:r>
                </w:p>
              </w:tc>
            </w:tr>
            <w:tr w14:paraId="62713CEC">
              <w:tblPrEx>
                <w:tblCellMar>
                  <w:top w:w="0" w:type="dxa"/>
                  <w:left w:w="108" w:type="dxa"/>
                  <w:bottom w:w="0" w:type="dxa"/>
                  <w:right w:w="108" w:type="dxa"/>
                </w:tblCellMar>
              </w:tblPrEx>
              <w:tc>
                <w:tcPr>
                  <w:tcW w:w="2591" w:type="dxa"/>
                  <w:noWrap w:val="0"/>
                  <w:vAlign w:val="top"/>
                </w:tcPr>
                <w:p w14:paraId="12D3A2BA">
                  <w:pPr>
                    <w:pStyle w:val="13"/>
                    <w:ind w:firstLine="0" w:firstLineChars="0"/>
                    <w:rPr>
                      <w:rFonts w:hint="eastAsia"/>
                      <w:sz w:val="18"/>
                      <w:szCs w:val="18"/>
                    </w:rPr>
                  </w:pPr>
                  <w:r>
                    <w:rPr>
                      <w:rFonts w:hint="eastAsia"/>
                      <w:sz w:val="18"/>
                      <w:szCs w:val="18"/>
                    </w:rPr>
                    <w:t>重介质选矿</w:t>
                  </w:r>
                </w:p>
              </w:tc>
              <w:tc>
                <w:tcPr>
                  <w:tcW w:w="1667" w:type="dxa"/>
                  <w:noWrap w:val="0"/>
                  <w:vAlign w:val="top"/>
                </w:tcPr>
                <w:p w14:paraId="00BA340D">
                  <w:pPr>
                    <w:pStyle w:val="14"/>
                    <w:ind w:firstLine="0" w:firstLineChars="0"/>
                    <w:rPr>
                      <w:rFonts w:hint="eastAsia"/>
                      <w:sz w:val="18"/>
                      <w:szCs w:val="18"/>
                    </w:rPr>
                  </w:pPr>
                  <w:r>
                    <w:rPr>
                      <w:rFonts w:hint="eastAsia"/>
                      <w:sz w:val="18"/>
                      <w:szCs w:val="18"/>
                    </w:rPr>
                    <w:t>约20分</w:t>
                  </w:r>
                </w:p>
              </w:tc>
            </w:tr>
            <w:tr w14:paraId="70A3867E">
              <w:tblPrEx>
                <w:tblCellMar>
                  <w:top w:w="0" w:type="dxa"/>
                  <w:left w:w="108" w:type="dxa"/>
                  <w:bottom w:w="0" w:type="dxa"/>
                  <w:right w:w="108" w:type="dxa"/>
                </w:tblCellMar>
              </w:tblPrEx>
              <w:tc>
                <w:tcPr>
                  <w:tcW w:w="2591" w:type="dxa"/>
                  <w:noWrap w:val="0"/>
                  <w:vAlign w:val="top"/>
                </w:tcPr>
                <w:p w14:paraId="481E0956">
                  <w:pPr>
                    <w:pStyle w:val="13"/>
                    <w:ind w:firstLine="0" w:firstLineChars="0"/>
                    <w:rPr>
                      <w:rFonts w:hint="eastAsia"/>
                      <w:sz w:val="18"/>
                      <w:szCs w:val="18"/>
                    </w:rPr>
                  </w:pPr>
                  <w:r>
                    <w:rPr>
                      <w:rFonts w:hint="eastAsia"/>
                      <w:sz w:val="18"/>
                      <w:szCs w:val="18"/>
                    </w:rPr>
                    <w:t>细颗粒重力选矿</w:t>
                  </w:r>
                </w:p>
              </w:tc>
              <w:tc>
                <w:tcPr>
                  <w:tcW w:w="1667" w:type="dxa"/>
                  <w:noWrap w:val="0"/>
                  <w:vAlign w:val="top"/>
                </w:tcPr>
                <w:p w14:paraId="4528D95C">
                  <w:pPr>
                    <w:pStyle w:val="14"/>
                    <w:ind w:firstLine="0" w:firstLineChars="0"/>
                    <w:rPr>
                      <w:sz w:val="18"/>
                      <w:szCs w:val="18"/>
                    </w:rPr>
                  </w:pPr>
                  <w:r>
                    <w:rPr>
                      <w:rFonts w:hint="eastAsia"/>
                      <w:sz w:val="18"/>
                      <w:szCs w:val="18"/>
                    </w:rPr>
                    <w:t>约5分</w:t>
                  </w:r>
                </w:p>
              </w:tc>
            </w:tr>
          </w:tbl>
          <w:p w14:paraId="1D484E68">
            <w:pPr>
              <w:autoSpaceDE w:val="0"/>
              <w:autoSpaceDN w:val="0"/>
              <w:adjustRightInd w:val="0"/>
              <w:jc w:val="left"/>
              <w:rPr>
                <w:rFonts w:hint="eastAsia" w:ascii="宋体" w:cs="宋体"/>
                <w:kern w:val="0"/>
                <w:sz w:val="18"/>
                <w:szCs w:val="18"/>
              </w:rPr>
            </w:pPr>
          </w:p>
          <w:p w14:paraId="5C44CC75">
            <w:pPr>
              <w:autoSpaceDE w:val="0"/>
              <w:autoSpaceDN w:val="0"/>
              <w:adjustRightInd w:val="0"/>
              <w:jc w:val="left"/>
              <w:rPr>
                <w:rFonts w:hint="eastAsia" w:ascii="宋体" w:cs="宋体"/>
                <w:kern w:val="0"/>
                <w:sz w:val="18"/>
                <w:szCs w:val="18"/>
              </w:rPr>
            </w:pPr>
            <w:r>
              <w:rPr>
                <w:rFonts w:ascii="宋体" w:cs="宋体"/>
                <w:kern w:val="0"/>
                <w:sz w:val="18"/>
                <w:szCs w:val="18"/>
              </w:rPr>
              <w:t xml:space="preserve">     </w:t>
            </w:r>
            <w:r>
              <w:rPr>
                <w:rFonts w:hint="eastAsia" w:ascii="宋体" w:cs="宋体"/>
                <w:kern w:val="0"/>
                <w:sz w:val="18"/>
                <w:szCs w:val="18"/>
              </w:rPr>
              <w:t>题型比例：</w:t>
            </w:r>
          </w:p>
          <w:tbl>
            <w:tblPr>
              <w:tblStyle w:val="7"/>
              <w:tblW w:w="0" w:type="auto"/>
              <w:tblInd w:w="420" w:type="dxa"/>
              <w:tblLayout w:type="fixed"/>
              <w:tblCellMar>
                <w:top w:w="0" w:type="dxa"/>
                <w:left w:w="108" w:type="dxa"/>
                <w:bottom w:w="0" w:type="dxa"/>
                <w:right w:w="108" w:type="dxa"/>
              </w:tblCellMar>
            </w:tblPr>
            <w:tblGrid>
              <w:gridCol w:w="2591"/>
              <w:gridCol w:w="1667"/>
            </w:tblGrid>
            <w:tr w14:paraId="27E3D126">
              <w:tblPrEx>
                <w:tblCellMar>
                  <w:top w:w="0" w:type="dxa"/>
                  <w:left w:w="108" w:type="dxa"/>
                  <w:bottom w:w="0" w:type="dxa"/>
                  <w:right w:w="108" w:type="dxa"/>
                </w:tblCellMar>
              </w:tblPrEx>
              <w:tc>
                <w:tcPr>
                  <w:tcW w:w="4258" w:type="dxa"/>
                  <w:gridSpan w:val="2"/>
                  <w:noWrap w:val="0"/>
                  <w:vAlign w:val="top"/>
                </w:tcPr>
                <w:p w14:paraId="17BDFE80">
                  <w:pPr>
                    <w:pStyle w:val="14"/>
                    <w:ind w:firstLine="0" w:firstLineChars="0"/>
                    <w:jc w:val="center"/>
                    <w:rPr>
                      <w:sz w:val="18"/>
                      <w:szCs w:val="18"/>
                    </w:rPr>
                  </w:pPr>
                  <w:r>
                    <w:rPr>
                      <w:rFonts w:hint="eastAsia"/>
                      <w:sz w:val="18"/>
                      <w:szCs w:val="18"/>
                    </w:rPr>
                    <w:t>客观题   约40分</w:t>
                  </w:r>
                </w:p>
              </w:tc>
            </w:tr>
            <w:tr w14:paraId="6A18E3D8">
              <w:tblPrEx>
                <w:tblCellMar>
                  <w:top w:w="0" w:type="dxa"/>
                  <w:left w:w="108" w:type="dxa"/>
                  <w:bottom w:w="0" w:type="dxa"/>
                  <w:right w:w="108" w:type="dxa"/>
                </w:tblCellMar>
              </w:tblPrEx>
              <w:tc>
                <w:tcPr>
                  <w:tcW w:w="2591" w:type="dxa"/>
                  <w:noWrap w:val="0"/>
                  <w:vAlign w:val="top"/>
                </w:tcPr>
                <w:p w14:paraId="5FFBC967">
                  <w:pPr>
                    <w:pStyle w:val="14"/>
                    <w:ind w:firstLine="0" w:firstLineChars="0"/>
                    <w:rPr>
                      <w:sz w:val="18"/>
                      <w:szCs w:val="18"/>
                    </w:rPr>
                  </w:pPr>
                  <w:r>
                    <w:rPr>
                      <w:rFonts w:hint="eastAsia"/>
                      <w:sz w:val="18"/>
                      <w:szCs w:val="18"/>
                    </w:rPr>
                    <w:t>1.概念题</w:t>
                  </w:r>
                </w:p>
              </w:tc>
              <w:tc>
                <w:tcPr>
                  <w:tcW w:w="1667" w:type="dxa"/>
                  <w:noWrap w:val="0"/>
                  <w:vAlign w:val="top"/>
                </w:tcPr>
                <w:p w14:paraId="7D197341">
                  <w:pPr>
                    <w:pStyle w:val="14"/>
                    <w:ind w:firstLine="0" w:firstLineChars="0"/>
                    <w:rPr>
                      <w:sz w:val="18"/>
                      <w:szCs w:val="18"/>
                    </w:rPr>
                  </w:pPr>
                  <w:r>
                    <w:rPr>
                      <w:rFonts w:hint="eastAsia"/>
                      <w:sz w:val="18"/>
                      <w:szCs w:val="18"/>
                    </w:rPr>
                    <w:t>约20分</w:t>
                  </w:r>
                </w:p>
              </w:tc>
            </w:tr>
            <w:tr w14:paraId="5A34E9EA">
              <w:tblPrEx>
                <w:tblCellMar>
                  <w:top w:w="0" w:type="dxa"/>
                  <w:left w:w="108" w:type="dxa"/>
                  <w:bottom w:w="0" w:type="dxa"/>
                  <w:right w:w="108" w:type="dxa"/>
                </w:tblCellMar>
              </w:tblPrEx>
              <w:tc>
                <w:tcPr>
                  <w:tcW w:w="2591" w:type="dxa"/>
                  <w:noWrap w:val="0"/>
                  <w:vAlign w:val="top"/>
                </w:tcPr>
                <w:p w14:paraId="046910A9">
                  <w:pPr>
                    <w:pStyle w:val="14"/>
                    <w:ind w:firstLine="0" w:firstLineChars="0"/>
                    <w:rPr>
                      <w:sz w:val="18"/>
                      <w:szCs w:val="18"/>
                    </w:rPr>
                  </w:pPr>
                  <w:r>
                    <w:rPr>
                      <w:rFonts w:hint="eastAsia"/>
                      <w:sz w:val="18"/>
                      <w:szCs w:val="18"/>
                    </w:rPr>
                    <w:t>2.填空题</w:t>
                  </w:r>
                </w:p>
              </w:tc>
              <w:tc>
                <w:tcPr>
                  <w:tcW w:w="1667" w:type="dxa"/>
                  <w:noWrap w:val="0"/>
                  <w:vAlign w:val="top"/>
                </w:tcPr>
                <w:p w14:paraId="2F5A1B06">
                  <w:pPr>
                    <w:pStyle w:val="14"/>
                    <w:ind w:firstLine="0" w:firstLineChars="0"/>
                    <w:rPr>
                      <w:sz w:val="18"/>
                      <w:szCs w:val="18"/>
                    </w:rPr>
                  </w:pPr>
                  <w:r>
                    <w:rPr>
                      <w:rFonts w:hint="eastAsia"/>
                      <w:sz w:val="18"/>
                      <w:szCs w:val="18"/>
                    </w:rPr>
                    <w:t>约20分</w:t>
                  </w:r>
                </w:p>
              </w:tc>
            </w:tr>
            <w:tr w14:paraId="1A0B6047">
              <w:tblPrEx>
                <w:tblCellMar>
                  <w:top w:w="0" w:type="dxa"/>
                  <w:left w:w="108" w:type="dxa"/>
                  <w:bottom w:w="0" w:type="dxa"/>
                  <w:right w:w="108" w:type="dxa"/>
                </w:tblCellMar>
              </w:tblPrEx>
              <w:tc>
                <w:tcPr>
                  <w:tcW w:w="4258" w:type="dxa"/>
                  <w:gridSpan w:val="2"/>
                  <w:noWrap w:val="0"/>
                  <w:vAlign w:val="top"/>
                </w:tcPr>
                <w:p w14:paraId="0414F4B5">
                  <w:pPr>
                    <w:pStyle w:val="14"/>
                    <w:ind w:firstLine="0" w:firstLineChars="0"/>
                    <w:jc w:val="center"/>
                    <w:rPr>
                      <w:sz w:val="18"/>
                      <w:szCs w:val="18"/>
                    </w:rPr>
                  </w:pPr>
                  <w:r>
                    <w:rPr>
                      <w:rFonts w:hint="eastAsia"/>
                      <w:sz w:val="18"/>
                      <w:szCs w:val="18"/>
                    </w:rPr>
                    <w:t>主观题   约60分</w:t>
                  </w:r>
                </w:p>
              </w:tc>
            </w:tr>
            <w:tr w14:paraId="6F979527">
              <w:tblPrEx>
                <w:tblCellMar>
                  <w:top w:w="0" w:type="dxa"/>
                  <w:left w:w="108" w:type="dxa"/>
                  <w:bottom w:w="0" w:type="dxa"/>
                  <w:right w:w="108" w:type="dxa"/>
                </w:tblCellMar>
              </w:tblPrEx>
              <w:tc>
                <w:tcPr>
                  <w:tcW w:w="2591" w:type="dxa"/>
                  <w:noWrap w:val="0"/>
                  <w:vAlign w:val="top"/>
                </w:tcPr>
                <w:p w14:paraId="6026AA42">
                  <w:pPr>
                    <w:pStyle w:val="12"/>
                    <w:ind w:firstLine="0" w:firstLineChars="0"/>
                    <w:rPr>
                      <w:rFonts w:hint="eastAsia"/>
                      <w:sz w:val="18"/>
                      <w:szCs w:val="18"/>
                    </w:rPr>
                  </w:pPr>
                  <w:r>
                    <w:rPr>
                      <w:rFonts w:hint="eastAsia"/>
                      <w:sz w:val="18"/>
                      <w:szCs w:val="18"/>
                    </w:rPr>
                    <w:t>1.简答题</w:t>
                  </w:r>
                </w:p>
              </w:tc>
              <w:tc>
                <w:tcPr>
                  <w:tcW w:w="1667" w:type="dxa"/>
                  <w:noWrap w:val="0"/>
                  <w:vAlign w:val="top"/>
                </w:tcPr>
                <w:p w14:paraId="6AB10FEE">
                  <w:pPr>
                    <w:pStyle w:val="12"/>
                    <w:ind w:firstLine="0" w:firstLineChars="0"/>
                    <w:rPr>
                      <w:rFonts w:hint="eastAsia"/>
                      <w:sz w:val="18"/>
                      <w:szCs w:val="18"/>
                    </w:rPr>
                  </w:pPr>
                  <w:r>
                    <w:rPr>
                      <w:rFonts w:hint="eastAsia"/>
                      <w:sz w:val="18"/>
                      <w:szCs w:val="18"/>
                    </w:rPr>
                    <w:t>约25分</w:t>
                  </w:r>
                </w:p>
              </w:tc>
            </w:tr>
            <w:tr w14:paraId="5255230F">
              <w:tblPrEx>
                <w:tblCellMar>
                  <w:top w:w="0" w:type="dxa"/>
                  <w:left w:w="108" w:type="dxa"/>
                  <w:bottom w:w="0" w:type="dxa"/>
                  <w:right w:w="108" w:type="dxa"/>
                </w:tblCellMar>
              </w:tblPrEx>
              <w:tc>
                <w:tcPr>
                  <w:tcW w:w="2591" w:type="dxa"/>
                  <w:noWrap w:val="0"/>
                  <w:vAlign w:val="top"/>
                </w:tcPr>
                <w:p w14:paraId="49E4C992">
                  <w:pPr>
                    <w:pStyle w:val="12"/>
                    <w:ind w:firstLine="0" w:firstLineChars="0"/>
                    <w:rPr>
                      <w:rFonts w:hint="eastAsia"/>
                      <w:sz w:val="18"/>
                      <w:szCs w:val="18"/>
                    </w:rPr>
                  </w:pPr>
                  <w:r>
                    <w:rPr>
                      <w:rFonts w:hint="eastAsia"/>
                      <w:sz w:val="18"/>
                      <w:szCs w:val="18"/>
                    </w:rPr>
                    <w:t>2.论述题</w:t>
                  </w:r>
                </w:p>
              </w:tc>
              <w:tc>
                <w:tcPr>
                  <w:tcW w:w="1667" w:type="dxa"/>
                  <w:noWrap w:val="0"/>
                  <w:vAlign w:val="top"/>
                </w:tcPr>
                <w:p w14:paraId="056F8FD2">
                  <w:pPr>
                    <w:pStyle w:val="12"/>
                    <w:ind w:firstLine="0" w:firstLineChars="0"/>
                    <w:rPr>
                      <w:rFonts w:hint="eastAsia"/>
                      <w:sz w:val="18"/>
                      <w:szCs w:val="18"/>
                    </w:rPr>
                  </w:pPr>
                  <w:r>
                    <w:rPr>
                      <w:rFonts w:hint="eastAsia"/>
                      <w:sz w:val="18"/>
                      <w:szCs w:val="18"/>
                    </w:rPr>
                    <w:t>约15分</w:t>
                  </w:r>
                </w:p>
              </w:tc>
            </w:tr>
            <w:tr w14:paraId="329BFF71">
              <w:tblPrEx>
                <w:tblCellMar>
                  <w:top w:w="0" w:type="dxa"/>
                  <w:left w:w="108" w:type="dxa"/>
                  <w:bottom w:w="0" w:type="dxa"/>
                  <w:right w:w="108" w:type="dxa"/>
                </w:tblCellMar>
              </w:tblPrEx>
              <w:tc>
                <w:tcPr>
                  <w:tcW w:w="2591" w:type="dxa"/>
                  <w:noWrap w:val="0"/>
                  <w:vAlign w:val="top"/>
                </w:tcPr>
                <w:p w14:paraId="3D6D9660">
                  <w:pPr>
                    <w:pStyle w:val="14"/>
                    <w:ind w:firstLine="0" w:firstLineChars="0"/>
                    <w:rPr>
                      <w:rFonts w:hint="eastAsia"/>
                      <w:sz w:val="18"/>
                      <w:szCs w:val="18"/>
                    </w:rPr>
                  </w:pPr>
                  <w:r>
                    <w:rPr>
                      <w:rFonts w:hint="eastAsia"/>
                      <w:sz w:val="18"/>
                      <w:szCs w:val="18"/>
                    </w:rPr>
                    <w:t>3.综合题</w:t>
                  </w:r>
                </w:p>
              </w:tc>
              <w:tc>
                <w:tcPr>
                  <w:tcW w:w="1667" w:type="dxa"/>
                  <w:noWrap w:val="0"/>
                  <w:vAlign w:val="top"/>
                </w:tcPr>
                <w:p w14:paraId="5E99EE28">
                  <w:pPr>
                    <w:pStyle w:val="14"/>
                    <w:ind w:firstLine="0" w:firstLineChars="0"/>
                    <w:rPr>
                      <w:rFonts w:hint="eastAsia"/>
                      <w:sz w:val="18"/>
                      <w:szCs w:val="18"/>
                    </w:rPr>
                  </w:pPr>
                  <w:r>
                    <w:rPr>
                      <w:rFonts w:hint="eastAsia"/>
                      <w:sz w:val="18"/>
                      <w:szCs w:val="18"/>
                    </w:rPr>
                    <w:t>约20分</w:t>
                  </w:r>
                </w:p>
              </w:tc>
            </w:tr>
          </w:tbl>
          <w:p w14:paraId="6DE63145">
            <w:pPr>
              <w:autoSpaceDE w:val="0"/>
              <w:autoSpaceDN w:val="0"/>
              <w:adjustRightInd w:val="0"/>
              <w:jc w:val="left"/>
              <w:rPr>
                <w:rFonts w:ascii="宋体" w:cs="宋体"/>
                <w:kern w:val="0"/>
                <w:sz w:val="18"/>
                <w:szCs w:val="18"/>
              </w:rPr>
            </w:pPr>
            <w:r>
              <w:rPr>
                <w:rFonts w:ascii="宋体" w:cs="宋体"/>
                <w:kern w:val="0"/>
                <w:sz w:val="18"/>
                <w:szCs w:val="18"/>
              </w:rPr>
              <w:t xml:space="preserve">     </w:t>
            </w:r>
          </w:p>
          <w:p w14:paraId="59506D52">
            <w:pPr>
              <w:rPr>
                <w:rFonts w:ascii="宋体" w:cs="宋体"/>
                <w:kern w:val="0"/>
                <w:sz w:val="18"/>
                <w:szCs w:val="18"/>
              </w:rPr>
            </w:pPr>
            <w:r>
              <w:rPr>
                <w:rFonts w:hint="eastAsia" w:ascii="宋体" w:cs="宋体"/>
                <w:b/>
                <w:kern w:val="0"/>
                <w:sz w:val="18"/>
                <w:szCs w:val="18"/>
              </w:rPr>
              <w:t>三、考试内容与要求</w:t>
            </w:r>
          </w:p>
          <w:p w14:paraId="4B93256C">
            <w:pPr>
              <w:pStyle w:val="3"/>
              <w:spacing w:line="480" w:lineRule="auto"/>
              <w:rPr>
                <w:rFonts w:hAnsi="宋体"/>
                <w:b/>
                <w:kern w:val="2"/>
                <w:sz w:val="18"/>
                <w:szCs w:val="18"/>
              </w:rPr>
            </w:pPr>
            <w:r>
              <w:rPr>
                <w:rFonts w:hAnsi="宋体" w:cs="宋体"/>
                <w:b/>
                <w:sz w:val="18"/>
                <w:szCs w:val="18"/>
              </w:rPr>
              <w:t xml:space="preserve">   </w:t>
            </w:r>
            <w:r>
              <w:rPr>
                <w:rFonts w:hint="eastAsia" w:hAnsi="宋体" w:cs="宋体"/>
                <w:b/>
                <w:sz w:val="18"/>
                <w:szCs w:val="18"/>
              </w:rPr>
              <w:t>（一）</w:t>
            </w:r>
            <w:r>
              <w:rPr>
                <w:rFonts w:hint="eastAsia" w:hAnsi="宋体"/>
                <w:szCs w:val="21"/>
              </w:rPr>
              <w:t xml:space="preserve"> </w:t>
            </w:r>
            <w:r>
              <w:rPr>
                <w:rFonts w:hint="eastAsia"/>
                <w:b/>
                <w:kern w:val="2"/>
                <w:sz w:val="18"/>
                <w:szCs w:val="18"/>
              </w:rPr>
              <w:t xml:space="preserve">绪论 </w:t>
            </w:r>
          </w:p>
          <w:p w14:paraId="796D4206">
            <w:pPr>
              <w:pStyle w:val="3"/>
              <w:ind w:firstLine="360" w:firstLineChars="200"/>
              <w:rPr>
                <w:rFonts w:hint="eastAsia" w:hAnsi="宋体"/>
                <w:kern w:val="2"/>
                <w:sz w:val="18"/>
                <w:szCs w:val="18"/>
              </w:rPr>
            </w:pPr>
            <w:r>
              <w:rPr>
                <w:rFonts w:hAnsi="宋体"/>
                <w:kern w:val="2"/>
                <w:sz w:val="18"/>
                <w:szCs w:val="18"/>
              </w:rPr>
              <w:t xml:space="preserve"> </w:t>
            </w:r>
            <w:r>
              <w:rPr>
                <w:rFonts w:hint="eastAsia" w:hAnsi="宋体"/>
                <w:kern w:val="2"/>
                <w:sz w:val="18"/>
                <w:szCs w:val="18"/>
              </w:rPr>
              <w:t>考试内容</w:t>
            </w:r>
          </w:p>
          <w:p w14:paraId="63453A75">
            <w:pPr>
              <w:ind w:left="535" w:leftChars="255" w:firstLine="360" w:firstLineChars="200"/>
              <w:rPr>
                <w:rFonts w:hAnsi="宋体"/>
                <w:sz w:val="18"/>
                <w:szCs w:val="18"/>
              </w:rPr>
            </w:pPr>
            <w:r>
              <w:rPr>
                <w:rFonts w:hint="eastAsia" w:hAnsi="宋体"/>
                <w:sz w:val="18"/>
                <w:szCs w:val="18"/>
              </w:rPr>
              <w:t>重力选矿的概念、目的；介质的种类与作用；通过重选矿石可选性评定系数，判断物料重选的难易程度。</w:t>
            </w:r>
          </w:p>
          <w:p w14:paraId="61415F89">
            <w:pPr>
              <w:ind w:left="420" w:leftChars="200"/>
              <w:rPr>
                <w:rFonts w:ascii="宋体"/>
                <w:sz w:val="18"/>
                <w:szCs w:val="18"/>
              </w:rPr>
            </w:pPr>
            <w:r>
              <w:rPr>
                <w:rFonts w:hint="eastAsia" w:ascii="宋体" w:hAnsi="宋体"/>
                <w:sz w:val="18"/>
                <w:szCs w:val="18"/>
              </w:rPr>
              <w:t>考试要求</w:t>
            </w:r>
          </w:p>
          <w:p w14:paraId="0FEF4077">
            <w:pPr>
              <w:ind w:firstLine="540" w:firstLineChars="300"/>
              <w:rPr>
                <w:rFonts w:hint="eastAsia" w:ascii="宋体" w:hAnsi="宋体"/>
                <w:sz w:val="18"/>
                <w:szCs w:val="18"/>
              </w:rPr>
            </w:pPr>
            <w:r>
              <w:rPr>
                <w:rFonts w:hint="eastAsia" w:ascii="宋体" w:hAnsi="宋体"/>
                <w:sz w:val="18"/>
                <w:szCs w:val="18"/>
              </w:rPr>
              <w:t>重力选矿的概念与目的；介质的种类与作用；重选矿石可选性评定系数。</w:t>
            </w:r>
          </w:p>
          <w:p w14:paraId="5956521D">
            <w:pPr>
              <w:pStyle w:val="3"/>
              <w:rPr>
                <w:rFonts w:hint="eastAsia"/>
                <w:b/>
                <w:kern w:val="2"/>
                <w:sz w:val="18"/>
                <w:szCs w:val="18"/>
              </w:rPr>
            </w:pPr>
            <w:r>
              <w:rPr>
                <w:rFonts w:hAnsi="宋体"/>
                <w:b/>
                <w:kern w:val="2"/>
                <w:sz w:val="18"/>
                <w:szCs w:val="18"/>
              </w:rPr>
              <w:t xml:space="preserve">   </w:t>
            </w:r>
            <w:r>
              <w:rPr>
                <w:rFonts w:hint="eastAsia" w:hAnsi="宋体"/>
                <w:b/>
                <w:kern w:val="2"/>
                <w:sz w:val="18"/>
                <w:szCs w:val="18"/>
              </w:rPr>
              <w:t>（二）</w:t>
            </w:r>
            <w:r>
              <w:rPr>
                <w:rFonts w:hint="eastAsia"/>
                <w:b/>
                <w:kern w:val="2"/>
                <w:sz w:val="18"/>
                <w:szCs w:val="18"/>
              </w:rPr>
              <w:t xml:space="preserve">重力选矿的基本理论 </w:t>
            </w:r>
          </w:p>
          <w:p w14:paraId="0A6E67EA">
            <w:pPr>
              <w:ind w:firstLine="360" w:firstLineChars="200"/>
              <w:rPr>
                <w:rFonts w:ascii="宋体"/>
                <w:sz w:val="18"/>
                <w:szCs w:val="18"/>
              </w:rPr>
            </w:pPr>
            <w:r>
              <w:rPr>
                <w:rFonts w:hint="eastAsia" w:ascii="宋体" w:hAnsi="宋体"/>
                <w:sz w:val="18"/>
                <w:szCs w:val="18"/>
              </w:rPr>
              <w:t>考试内容</w:t>
            </w:r>
          </w:p>
          <w:p w14:paraId="4BAE6ADA">
            <w:pPr>
              <w:ind w:left="420" w:leftChars="200" w:firstLine="360" w:firstLineChars="200"/>
              <w:rPr>
                <w:rFonts w:hint="eastAsia" w:ascii="宋体" w:hAnsi="宋体"/>
                <w:sz w:val="18"/>
                <w:szCs w:val="18"/>
              </w:rPr>
            </w:pPr>
            <w:r>
              <w:rPr>
                <w:rFonts w:hint="eastAsia" w:hAnsi="宋体"/>
                <w:sz w:val="18"/>
                <w:szCs w:val="18"/>
              </w:rPr>
              <w:t>矿物及介质的工艺性质及其测定方法；物体在介质中的重力及运动阻力；球体在静止介质中的自由沉降规律：非球形物体在介质中的运动规律； 等沉现象与等沉比；物体的干扰沉降规律；</w:t>
            </w:r>
          </w:p>
          <w:p w14:paraId="0D20EB7A">
            <w:pPr>
              <w:pStyle w:val="3"/>
              <w:ind w:firstLine="360" w:firstLineChars="200"/>
              <w:rPr>
                <w:rFonts w:hAnsi="宋体"/>
                <w:kern w:val="2"/>
                <w:sz w:val="18"/>
                <w:szCs w:val="18"/>
              </w:rPr>
            </w:pPr>
            <w:r>
              <w:rPr>
                <w:rFonts w:hint="eastAsia" w:hAnsi="宋体"/>
                <w:kern w:val="2"/>
                <w:sz w:val="18"/>
                <w:szCs w:val="18"/>
              </w:rPr>
              <w:t>考试要求</w:t>
            </w:r>
          </w:p>
          <w:p w14:paraId="02163847">
            <w:pPr>
              <w:ind w:left="315" w:leftChars="150" w:firstLine="372" w:firstLineChars="207"/>
              <w:rPr>
                <w:rFonts w:hint="eastAsia" w:ascii="宋体" w:hAnsi="宋体"/>
                <w:sz w:val="18"/>
                <w:szCs w:val="18"/>
              </w:rPr>
            </w:pPr>
            <w:r>
              <w:rPr>
                <w:rFonts w:hint="eastAsia" w:ascii="宋体" w:hAnsi="宋体" w:cs="Arial"/>
                <w:sz w:val="18"/>
                <w:szCs w:val="18"/>
              </w:rPr>
              <w:t>掌握常见</w:t>
            </w:r>
            <w:r>
              <w:rPr>
                <w:rFonts w:hint="eastAsia" w:ascii="宋体" w:hAnsi="宋体"/>
                <w:sz w:val="18"/>
                <w:szCs w:val="18"/>
              </w:rPr>
              <w:t>矿物及介质的工艺性质及其测定方法</w:t>
            </w:r>
            <w:r>
              <w:rPr>
                <w:rFonts w:hint="eastAsia" w:ascii="宋体" w:hAnsi="宋体" w:cs="Arial"/>
                <w:sz w:val="18"/>
                <w:szCs w:val="18"/>
              </w:rPr>
              <w:t>；掌握</w:t>
            </w:r>
            <w:r>
              <w:rPr>
                <w:rFonts w:hint="eastAsia" w:ascii="宋体" w:hAnsi="宋体"/>
                <w:sz w:val="18"/>
                <w:szCs w:val="18"/>
              </w:rPr>
              <w:t>等沉现象、等沉颗粒和等沉比的概念；理解等沉比对选煤效果的影响；掌握等沉比计算及影响等沉比的因素；理解颗粒在离心力场的运动特点与运动规律。</w:t>
            </w:r>
          </w:p>
          <w:p w14:paraId="7DDCC070">
            <w:pPr>
              <w:pStyle w:val="3"/>
              <w:rPr>
                <w:rFonts w:hint="eastAsia"/>
                <w:b/>
                <w:kern w:val="2"/>
                <w:sz w:val="18"/>
                <w:szCs w:val="18"/>
              </w:rPr>
            </w:pPr>
            <w:r>
              <w:rPr>
                <w:rFonts w:hAnsi="宋体"/>
                <w:b/>
                <w:kern w:val="2"/>
                <w:sz w:val="18"/>
                <w:szCs w:val="18"/>
              </w:rPr>
              <w:t xml:space="preserve">   </w:t>
            </w:r>
            <w:r>
              <w:rPr>
                <w:rFonts w:hint="eastAsia" w:hAnsi="宋体"/>
                <w:b/>
                <w:kern w:val="2"/>
                <w:sz w:val="18"/>
                <w:szCs w:val="18"/>
              </w:rPr>
              <w:t>（三）</w:t>
            </w:r>
            <w:r>
              <w:rPr>
                <w:rFonts w:hint="eastAsia"/>
                <w:b/>
                <w:kern w:val="2"/>
                <w:sz w:val="18"/>
                <w:szCs w:val="18"/>
              </w:rPr>
              <w:t>物料的可选性</w:t>
            </w:r>
          </w:p>
          <w:p w14:paraId="58370FE7">
            <w:pPr>
              <w:ind w:left="420"/>
              <w:rPr>
                <w:rFonts w:ascii="宋体"/>
                <w:sz w:val="18"/>
                <w:szCs w:val="18"/>
              </w:rPr>
            </w:pPr>
            <w:r>
              <w:rPr>
                <w:rFonts w:hint="eastAsia" w:ascii="宋体" w:hAnsi="宋体"/>
                <w:sz w:val="18"/>
                <w:szCs w:val="18"/>
              </w:rPr>
              <w:t>考试内容</w:t>
            </w:r>
          </w:p>
          <w:p w14:paraId="22F4C44D">
            <w:pPr>
              <w:ind w:left="315" w:leftChars="150" w:firstLine="372" w:firstLineChars="207"/>
              <w:rPr>
                <w:rFonts w:hint="eastAsia" w:ascii="宋体" w:hAnsi="宋体"/>
                <w:sz w:val="18"/>
                <w:szCs w:val="18"/>
              </w:rPr>
            </w:pPr>
            <w:r>
              <w:rPr>
                <w:rFonts w:hint="eastAsia" w:ascii="宋体" w:hAnsi="宋体"/>
                <w:sz w:val="18"/>
                <w:szCs w:val="18"/>
              </w:rPr>
              <w:t>煤炭粒度组成的研究方法；煤炭密度组成的试验方法，浮沉试验资料的整理与综合，细粒煤浮沉试验方法； 可选性曲线绘制及应用，可选性曲线间的图解关系； 煤炭可选性评定的方法与国家标准。</w:t>
            </w:r>
          </w:p>
          <w:p w14:paraId="7421571B">
            <w:pPr>
              <w:pStyle w:val="3"/>
              <w:ind w:firstLine="360" w:firstLineChars="200"/>
              <w:rPr>
                <w:rFonts w:hAnsi="宋体"/>
                <w:kern w:val="2"/>
                <w:sz w:val="18"/>
                <w:szCs w:val="18"/>
              </w:rPr>
            </w:pPr>
            <w:r>
              <w:rPr>
                <w:rFonts w:hint="eastAsia" w:hAnsi="宋体"/>
                <w:kern w:val="2"/>
                <w:sz w:val="18"/>
                <w:szCs w:val="18"/>
              </w:rPr>
              <w:t>考试要求</w:t>
            </w:r>
          </w:p>
          <w:p w14:paraId="3C6B2712">
            <w:pPr>
              <w:ind w:left="315" w:leftChars="150" w:firstLine="372" w:firstLineChars="207"/>
              <w:rPr>
                <w:rFonts w:ascii="宋体"/>
                <w:sz w:val="18"/>
                <w:szCs w:val="18"/>
              </w:rPr>
            </w:pPr>
            <w:r>
              <w:rPr>
                <w:rFonts w:hint="eastAsia" w:ascii="宋体" w:hAnsi="宋体"/>
                <w:sz w:val="18"/>
                <w:szCs w:val="18"/>
              </w:rPr>
              <w:t>理解煤炭粒度组成的研究方法，掌握原煤粒度特性曲线图的绘制与应用；熟练掌握煤炭密度组成的试验方法，浮沉试验资料的整理与综合，细粒煤浮沉试验方法；掌握可选性曲线的绘制与应用，利用可选性曲线确定两产品与三产品理论分选指标的方法。煤炭可选性评定的方法与国家标准；了解矿石可选性曲线、我国煤炭可选性状况。</w:t>
            </w:r>
          </w:p>
          <w:p w14:paraId="39B58886">
            <w:pPr>
              <w:numPr>
                <w:ilvl w:val="0"/>
                <w:numId w:val="2"/>
              </w:numPr>
              <w:ind w:firstLine="361" w:firstLineChars="200"/>
              <w:rPr>
                <w:rFonts w:hint="eastAsia" w:ascii="宋体" w:hAnsi="Courier New"/>
                <w:b/>
                <w:sz w:val="18"/>
                <w:szCs w:val="18"/>
              </w:rPr>
            </w:pPr>
            <w:r>
              <w:rPr>
                <w:rFonts w:hint="eastAsia" w:ascii="宋体" w:hAnsi="Courier New"/>
                <w:b/>
                <w:sz w:val="18"/>
                <w:szCs w:val="18"/>
              </w:rPr>
              <w:t>重力选矿结果的统计规律</w:t>
            </w:r>
          </w:p>
          <w:p w14:paraId="1F93528E">
            <w:pPr>
              <w:ind w:firstLine="360" w:firstLineChars="200"/>
              <w:rPr>
                <w:rFonts w:ascii="宋体"/>
                <w:sz w:val="18"/>
                <w:szCs w:val="18"/>
              </w:rPr>
            </w:pPr>
            <w:r>
              <w:rPr>
                <w:rFonts w:hint="eastAsia" w:ascii="宋体" w:hAnsi="宋体"/>
                <w:sz w:val="18"/>
                <w:szCs w:val="18"/>
              </w:rPr>
              <w:t>考试内容</w:t>
            </w:r>
          </w:p>
          <w:p w14:paraId="0578E91F">
            <w:pPr>
              <w:pStyle w:val="3"/>
              <w:ind w:firstLine="360" w:firstLineChars="200"/>
              <w:rPr>
                <w:rFonts w:hint="eastAsia" w:hAnsi="宋体"/>
                <w:kern w:val="2"/>
                <w:sz w:val="18"/>
                <w:szCs w:val="18"/>
              </w:rPr>
            </w:pPr>
            <w:r>
              <w:rPr>
                <w:rFonts w:hAnsi="宋体"/>
                <w:kern w:val="2"/>
                <w:sz w:val="18"/>
                <w:szCs w:val="18"/>
              </w:rPr>
              <w:t xml:space="preserve">   </w:t>
            </w:r>
            <w:r>
              <w:rPr>
                <w:rFonts w:hint="eastAsia" w:hAnsi="宋体"/>
                <w:kern w:val="2"/>
                <w:sz w:val="18"/>
                <w:szCs w:val="18"/>
              </w:rPr>
              <w:t xml:space="preserve"> 重力选矿规程中矿粒在产物中按密度（按粒度）的分配规律，分配曲线的统计意义；</w:t>
            </w:r>
          </w:p>
          <w:p w14:paraId="43B6CC65">
            <w:pPr>
              <w:pStyle w:val="3"/>
              <w:ind w:firstLine="360" w:firstLineChars="200"/>
              <w:rPr>
                <w:rFonts w:hAnsi="宋体"/>
                <w:kern w:val="2"/>
                <w:sz w:val="18"/>
                <w:szCs w:val="18"/>
              </w:rPr>
            </w:pPr>
            <w:r>
              <w:rPr>
                <w:rFonts w:hint="eastAsia" w:hAnsi="宋体"/>
                <w:kern w:val="2"/>
                <w:sz w:val="18"/>
                <w:szCs w:val="18"/>
              </w:rPr>
              <w:t>分配曲线的特性参数；分配曲线与原料的性质，设备性能及操作条件间的关系。</w:t>
            </w:r>
          </w:p>
          <w:p w14:paraId="0393D82A">
            <w:pPr>
              <w:pStyle w:val="3"/>
              <w:ind w:firstLine="435"/>
              <w:rPr>
                <w:rFonts w:hint="eastAsia" w:hAnsi="宋体"/>
                <w:kern w:val="2"/>
                <w:sz w:val="18"/>
                <w:szCs w:val="18"/>
              </w:rPr>
            </w:pPr>
            <w:r>
              <w:rPr>
                <w:rFonts w:hint="eastAsia" w:hAnsi="宋体"/>
                <w:kern w:val="2"/>
                <w:sz w:val="18"/>
                <w:szCs w:val="18"/>
              </w:rPr>
              <w:t>考试要求</w:t>
            </w:r>
          </w:p>
          <w:p w14:paraId="4E040A20">
            <w:pPr>
              <w:pStyle w:val="3"/>
              <w:ind w:left="357" w:leftChars="170" w:firstLine="360" w:firstLineChars="200"/>
              <w:rPr>
                <w:rFonts w:hint="eastAsia" w:hAnsi="宋体"/>
                <w:kern w:val="2"/>
                <w:sz w:val="18"/>
                <w:szCs w:val="18"/>
              </w:rPr>
            </w:pPr>
            <w:r>
              <w:rPr>
                <w:rFonts w:hint="eastAsia" w:hAnsi="宋体"/>
                <w:kern w:val="2"/>
                <w:sz w:val="18"/>
                <w:szCs w:val="18"/>
              </w:rPr>
              <w:t>掌握重力选矿过程中矿粒在产物中按密度（按粒度）的分配规律；理解分配曲线的统计意义；掌握分配曲线的特性参数及特性；理解分配曲线与原料的性质，设备性能及操作条件间的关系、分配曲线在评定重选效率与预测实际分选结果中的应用。</w:t>
            </w:r>
          </w:p>
          <w:p w14:paraId="452F7ABC">
            <w:pPr>
              <w:numPr>
                <w:ilvl w:val="0"/>
                <w:numId w:val="2"/>
              </w:numPr>
              <w:ind w:firstLine="361" w:firstLineChars="200"/>
              <w:rPr>
                <w:rFonts w:hint="eastAsia" w:ascii="宋体" w:hAnsi="Courier New"/>
                <w:b/>
                <w:sz w:val="18"/>
                <w:szCs w:val="18"/>
              </w:rPr>
            </w:pPr>
            <w:r>
              <w:rPr>
                <w:rFonts w:hint="eastAsia" w:ascii="宋体" w:hAnsi="Courier New"/>
                <w:b/>
                <w:sz w:val="18"/>
                <w:szCs w:val="18"/>
              </w:rPr>
              <w:t>跳汰选矿</w:t>
            </w:r>
          </w:p>
          <w:p w14:paraId="51B60C29">
            <w:pPr>
              <w:ind w:firstLine="360" w:firstLineChars="200"/>
              <w:rPr>
                <w:rFonts w:ascii="宋体"/>
                <w:sz w:val="18"/>
                <w:szCs w:val="18"/>
              </w:rPr>
            </w:pPr>
            <w:r>
              <w:rPr>
                <w:rFonts w:hint="eastAsia" w:ascii="宋体" w:hAnsi="宋体"/>
                <w:sz w:val="18"/>
                <w:szCs w:val="18"/>
              </w:rPr>
              <w:t>考试内容</w:t>
            </w:r>
          </w:p>
          <w:p w14:paraId="3114F37A">
            <w:pPr>
              <w:pStyle w:val="3"/>
              <w:ind w:firstLine="360" w:firstLineChars="200"/>
              <w:rPr>
                <w:rFonts w:hint="eastAsia" w:hAnsi="宋体"/>
                <w:kern w:val="2"/>
                <w:sz w:val="18"/>
                <w:szCs w:val="18"/>
              </w:rPr>
            </w:pPr>
            <w:r>
              <w:rPr>
                <w:rFonts w:hAnsi="宋体"/>
                <w:kern w:val="2"/>
                <w:sz w:val="18"/>
                <w:szCs w:val="18"/>
              </w:rPr>
              <w:t xml:space="preserve">  </w:t>
            </w:r>
            <w:r>
              <w:rPr>
                <w:rFonts w:hint="eastAsia" w:hAnsi="宋体"/>
                <w:kern w:val="2"/>
                <w:sz w:val="18"/>
                <w:szCs w:val="18"/>
              </w:rPr>
              <w:t>跳汰选煤原理；无活塞跳汰机的结构、性能及主要技术经济指标；跳汰机的操作工艺。</w:t>
            </w:r>
          </w:p>
          <w:p w14:paraId="1A3BB6C3">
            <w:pPr>
              <w:pStyle w:val="3"/>
              <w:ind w:firstLine="360" w:firstLineChars="200"/>
              <w:rPr>
                <w:rFonts w:hAnsi="宋体"/>
                <w:kern w:val="2"/>
                <w:sz w:val="18"/>
                <w:szCs w:val="18"/>
              </w:rPr>
            </w:pPr>
            <w:r>
              <w:rPr>
                <w:rFonts w:hint="eastAsia" w:hAnsi="宋体"/>
                <w:kern w:val="2"/>
                <w:sz w:val="18"/>
                <w:szCs w:val="18"/>
              </w:rPr>
              <w:t>考试要求</w:t>
            </w:r>
          </w:p>
          <w:p w14:paraId="552B5286">
            <w:pPr>
              <w:ind w:left="357" w:leftChars="170" w:firstLine="180" w:firstLineChars="100"/>
              <w:rPr>
                <w:rFonts w:hAnsi="宋体"/>
                <w:sz w:val="18"/>
                <w:szCs w:val="18"/>
              </w:rPr>
            </w:pPr>
            <w:r>
              <w:rPr>
                <w:rFonts w:hint="eastAsia" w:hAnsi="宋体"/>
                <w:sz w:val="18"/>
                <w:szCs w:val="18"/>
              </w:rPr>
              <w:t>掌握跳汰选矿的基本概念、跳汰选矿原理，跳汰过程中垂直交变水流的运动特性；掌握筛侧空气室跳汰机与筛下空气室跳汰机的结构特征及其性能的分析；了解国内外典型跳汰机的结构、性能及主要技术经济指标；</w:t>
            </w:r>
            <w:r>
              <w:rPr>
                <w:rFonts w:hint="eastAsia"/>
              </w:rPr>
              <w:t xml:space="preserve"> </w:t>
            </w:r>
            <w:r>
              <w:rPr>
                <w:rFonts w:hint="eastAsia" w:hAnsi="宋体"/>
                <w:sz w:val="18"/>
                <w:szCs w:val="18"/>
              </w:rPr>
              <w:t>掌握跳汰机的操作工艺制度；理解跳汰工艺流程。</w:t>
            </w:r>
          </w:p>
          <w:p w14:paraId="5AE39F3C">
            <w:pPr>
              <w:pStyle w:val="3"/>
              <w:ind w:firstLine="443" w:firstLineChars="245"/>
              <w:rPr>
                <w:rFonts w:hint="eastAsia"/>
                <w:b/>
                <w:kern w:val="2"/>
                <w:sz w:val="18"/>
                <w:szCs w:val="18"/>
              </w:rPr>
            </w:pPr>
            <w:r>
              <w:rPr>
                <w:rFonts w:hint="eastAsia" w:hAnsi="宋体"/>
                <w:b/>
                <w:kern w:val="2"/>
                <w:sz w:val="18"/>
                <w:szCs w:val="18"/>
              </w:rPr>
              <w:t>（六）</w:t>
            </w:r>
            <w:r>
              <w:rPr>
                <w:rFonts w:hint="eastAsia"/>
                <w:b/>
                <w:kern w:val="2"/>
                <w:sz w:val="18"/>
                <w:szCs w:val="18"/>
              </w:rPr>
              <w:t>重介质选矿</w:t>
            </w:r>
          </w:p>
          <w:p w14:paraId="313E1206">
            <w:pPr>
              <w:ind w:left="420"/>
              <w:rPr>
                <w:rFonts w:ascii="宋体"/>
                <w:sz w:val="18"/>
                <w:szCs w:val="18"/>
              </w:rPr>
            </w:pPr>
            <w:r>
              <w:rPr>
                <w:rFonts w:hint="eastAsia" w:ascii="宋体" w:hAnsi="宋体"/>
                <w:sz w:val="18"/>
                <w:szCs w:val="18"/>
              </w:rPr>
              <w:t>考试内容</w:t>
            </w:r>
          </w:p>
          <w:p w14:paraId="20143AEE">
            <w:pPr>
              <w:pStyle w:val="2"/>
              <w:ind w:left="357" w:leftChars="170" w:firstLine="367" w:firstLineChars="204"/>
              <w:rPr>
                <w:rFonts w:hint="eastAsia" w:ascii="宋体" w:hAnsi="宋体"/>
                <w:sz w:val="18"/>
                <w:szCs w:val="18"/>
              </w:rPr>
            </w:pPr>
            <w:r>
              <w:rPr>
                <w:rFonts w:hint="eastAsia" w:ascii="宋体" w:hAnsi="宋体"/>
                <w:sz w:val="18"/>
                <w:szCs w:val="18"/>
              </w:rPr>
              <w:t>重介质选煤的基本原理及重介选矿的发展状况；重液、悬浮液的性质、选煤对分选介质及加重质的要求；重介分选机；重介旋流器；产品的脱介； 我国重介质选煤的典型流程。</w:t>
            </w:r>
          </w:p>
          <w:p w14:paraId="611A2617">
            <w:pPr>
              <w:pStyle w:val="3"/>
              <w:ind w:firstLine="435"/>
              <w:rPr>
                <w:rFonts w:hAnsi="宋体"/>
                <w:kern w:val="2"/>
                <w:sz w:val="18"/>
                <w:szCs w:val="18"/>
              </w:rPr>
            </w:pPr>
            <w:r>
              <w:rPr>
                <w:rFonts w:hint="eastAsia" w:hAnsi="宋体"/>
                <w:kern w:val="2"/>
                <w:sz w:val="18"/>
                <w:szCs w:val="18"/>
              </w:rPr>
              <w:t>考试要求</w:t>
            </w:r>
          </w:p>
          <w:p w14:paraId="79AEA5EA">
            <w:pPr>
              <w:ind w:left="357" w:leftChars="170" w:firstLine="415" w:firstLineChars="231"/>
              <w:rPr>
                <w:rFonts w:hint="eastAsia" w:ascii="宋体" w:hAnsi="宋体"/>
                <w:sz w:val="18"/>
                <w:szCs w:val="18"/>
              </w:rPr>
            </w:pPr>
            <w:r>
              <w:rPr>
                <w:rFonts w:hint="eastAsia" w:ascii="宋体" w:hAnsi="宋体"/>
                <w:sz w:val="18"/>
                <w:szCs w:val="18"/>
              </w:rPr>
              <w:t>理解并掌握重介质旋流器分类；掌握重介旋流器的工作原理，影响重介质旋流器工作因素与结构因素；理解重介旋流器与水介旋流器区别；掌握产品脱介的主要设备及介质回收净化流程；理解介质系统的平衡及重悬浮液中煤泥量的动平衡；掌握重悬浮液的回收与净化的损失及低降介耗的相应措施。</w:t>
            </w:r>
          </w:p>
          <w:p w14:paraId="054AAF69">
            <w:pPr>
              <w:pStyle w:val="3"/>
              <w:ind w:firstLine="360" w:firstLineChars="200"/>
              <w:rPr>
                <w:rFonts w:hint="eastAsia"/>
                <w:b/>
                <w:kern w:val="2"/>
                <w:sz w:val="18"/>
                <w:szCs w:val="18"/>
              </w:rPr>
            </w:pPr>
            <w:r>
              <w:rPr>
                <w:rFonts w:hAnsi="宋体"/>
                <w:kern w:val="2"/>
                <w:sz w:val="18"/>
                <w:szCs w:val="18"/>
              </w:rPr>
              <w:t xml:space="preserve"> </w:t>
            </w:r>
            <w:r>
              <w:rPr>
                <w:rFonts w:hint="eastAsia" w:hAnsi="宋体"/>
                <w:b/>
                <w:kern w:val="2"/>
                <w:sz w:val="18"/>
                <w:szCs w:val="18"/>
              </w:rPr>
              <w:t>（七）</w:t>
            </w:r>
            <w:r>
              <w:rPr>
                <w:rFonts w:hint="eastAsia"/>
                <w:b/>
                <w:kern w:val="2"/>
                <w:sz w:val="18"/>
                <w:szCs w:val="18"/>
              </w:rPr>
              <w:t>细颗粒重力选矿</w:t>
            </w:r>
          </w:p>
          <w:p w14:paraId="02619255">
            <w:pPr>
              <w:ind w:left="420"/>
              <w:rPr>
                <w:rFonts w:ascii="宋体"/>
                <w:sz w:val="18"/>
                <w:szCs w:val="18"/>
              </w:rPr>
            </w:pPr>
            <w:r>
              <w:rPr>
                <w:rFonts w:hint="eastAsia" w:ascii="宋体" w:hAnsi="宋体"/>
                <w:sz w:val="18"/>
                <w:szCs w:val="18"/>
              </w:rPr>
              <w:t>考试内容</w:t>
            </w:r>
          </w:p>
          <w:p w14:paraId="6A132CE5">
            <w:pPr>
              <w:ind w:firstLine="867" w:firstLineChars="482"/>
              <w:rPr>
                <w:rFonts w:hint="eastAsia" w:ascii="宋体" w:hAnsi="宋体"/>
                <w:sz w:val="18"/>
                <w:szCs w:val="18"/>
              </w:rPr>
            </w:pPr>
            <w:r>
              <w:rPr>
                <w:rFonts w:hint="eastAsia" w:ascii="宋体" w:hAnsi="宋体"/>
                <w:sz w:val="18"/>
                <w:szCs w:val="18"/>
              </w:rPr>
              <w:t>溜槽选矿、离心选矿、摇床选矿与液固流化床粗煤泥选矿的分选特性和设备。</w:t>
            </w:r>
          </w:p>
          <w:p w14:paraId="50AE35B6">
            <w:pPr>
              <w:pStyle w:val="3"/>
              <w:ind w:firstLine="435"/>
              <w:rPr>
                <w:rFonts w:hAnsi="宋体"/>
                <w:kern w:val="2"/>
                <w:sz w:val="18"/>
                <w:szCs w:val="18"/>
              </w:rPr>
            </w:pPr>
            <w:r>
              <w:rPr>
                <w:rFonts w:hint="eastAsia" w:hAnsi="宋体"/>
                <w:kern w:val="2"/>
                <w:sz w:val="18"/>
                <w:szCs w:val="18"/>
              </w:rPr>
              <w:t>考试要求</w:t>
            </w:r>
          </w:p>
          <w:p w14:paraId="3118489E">
            <w:pPr>
              <w:ind w:left="535" w:leftChars="255" w:firstLine="180" w:firstLineChars="100"/>
              <w:rPr>
                <w:rFonts w:hint="eastAsia" w:ascii="宋体" w:hAnsi="宋体"/>
                <w:sz w:val="18"/>
                <w:szCs w:val="18"/>
              </w:rPr>
            </w:pPr>
            <w:r>
              <w:rPr>
                <w:rFonts w:hint="eastAsia" w:ascii="宋体" w:hAnsi="宋体"/>
                <w:sz w:val="18"/>
                <w:szCs w:val="18"/>
              </w:rPr>
              <w:t>理解理解溜槽选矿、离心选矿、摇床选矿与液固流化床粗煤泥选矿的分选特性和设备。</w:t>
            </w:r>
          </w:p>
          <w:p w14:paraId="7FF5CA3E">
            <w:pPr>
              <w:ind w:firstLine="420"/>
              <w:rPr>
                <w:rFonts w:ascii="宋体"/>
                <w:sz w:val="18"/>
                <w:szCs w:val="18"/>
              </w:rPr>
            </w:pPr>
          </w:p>
          <w:p w14:paraId="50EE6715">
            <w:pPr>
              <w:rPr>
                <w:rFonts w:hint="eastAsia" w:ascii="宋体" w:hAnsi="宋体"/>
                <w:sz w:val="18"/>
                <w:szCs w:val="18"/>
              </w:rPr>
            </w:pPr>
            <w:r>
              <w:rPr>
                <w:rFonts w:hint="eastAsia" w:ascii="宋体" w:hAnsi="宋体"/>
                <w:b/>
                <w:sz w:val="18"/>
                <w:szCs w:val="18"/>
              </w:rPr>
              <w:t>参考书目</w:t>
            </w:r>
            <w:r>
              <w:rPr>
                <w:rFonts w:ascii="宋体" w:hAnsi="宋体"/>
                <w:sz w:val="18"/>
                <w:szCs w:val="18"/>
              </w:rPr>
              <w:t xml:space="preserve">：  </w:t>
            </w:r>
          </w:p>
          <w:p w14:paraId="693DFC78">
            <w:pPr>
              <w:ind w:firstLine="420"/>
              <w:rPr>
                <w:rFonts w:hint="eastAsia" w:ascii="宋体" w:hAnsi="宋体"/>
                <w:sz w:val="18"/>
                <w:szCs w:val="18"/>
              </w:rPr>
            </w:pPr>
            <w:r>
              <w:rPr>
                <w:rFonts w:hint="eastAsia" w:ascii="宋体" w:hAnsi="宋体"/>
                <w:sz w:val="18"/>
                <w:szCs w:val="18"/>
              </w:rPr>
              <w:t>《选矿学》 谢广元主编  中国矿业大学出版社　　201</w:t>
            </w:r>
            <w:r>
              <w:rPr>
                <w:rFonts w:hint="eastAsia" w:ascii="宋体" w:hAnsi="宋体"/>
                <w:sz w:val="18"/>
                <w:szCs w:val="18"/>
                <w:lang w:val="en-US" w:eastAsia="zh-CN"/>
              </w:rPr>
              <w:t>6</w:t>
            </w:r>
            <w:r>
              <w:rPr>
                <w:rFonts w:hint="eastAsia" w:ascii="宋体" w:hAnsi="宋体"/>
                <w:sz w:val="18"/>
                <w:szCs w:val="18"/>
              </w:rPr>
              <w:t>年</w:t>
            </w:r>
          </w:p>
          <w:p w14:paraId="13A2F938">
            <w:pPr>
              <w:rPr>
                <w:sz w:val="18"/>
                <w:szCs w:val="18"/>
              </w:rPr>
            </w:pPr>
          </w:p>
        </w:tc>
      </w:tr>
    </w:tbl>
    <w:p w14:paraId="77A1006F">
      <w:r>
        <w:t xml:space="preserve">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nothing"/>
      <w:lvlText w:val="（%1）"/>
      <w:lvlJc w:val="left"/>
    </w:lvl>
  </w:abstractNum>
  <w:abstractNum w:abstractNumId="1">
    <w:nsid w:val="00000002"/>
    <w:multiLevelType w:val="multilevel"/>
    <w:tmpl w:val="00000002"/>
    <w:lvl w:ilvl="0" w:tentative="0">
      <w:start w:val="1"/>
      <w:numFmt w:val="japaneseCount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MTkzOTcyNDdlZmQ2MmE1MjczOTY5OGNiNjU3NTUifQ=="/>
  </w:docVars>
  <w:rsids>
    <w:rsidRoot w:val="00172A27"/>
    <w:rsid w:val="031D01F9"/>
    <w:rsid w:val="149A22A4"/>
    <w:rsid w:val="56F5619E"/>
    <w:rsid w:val="726E45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2"/>
      <w:lang w:val="en-US" w:eastAsia="zh-CN" w:bidi="ar-SA"/>
    </w:rPr>
  </w:style>
  <w:style w:type="character" w:default="1" w:styleId="8">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Indent"/>
    <w:basedOn w:val="1"/>
    <w:uiPriority w:val="0"/>
    <w:pPr>
      <w:spacing w:line="360" w:lineRule="exact"/>
      <w:ind w:firstLine="435"/>
    </w:pPr>
    <w:rPr>
      <w:szCs w:val="31"/>
    </w:rPr>
  </w:style>
  <w:style w:type="paragraph" w:styleId="3">
    <w:name w:val="Plain Text"/>
    <w:basedOn w:val="1"/>
    <w:link w:val="9"/>
    <w:uiPriority w:val="0"/>
    <w:rPr>
      <w:rFonts w:ascii="宋体" w:hAnsi="Courier New" w:eastAsia="宋体" w:cs="Times New Roman"/>
      <w:sz w:val="20"/>
      <w:szCs w:val="20"/>
    </w:rPr>
  </w:style>
  <w:style w:type="paragraph" w:styleId="4">
    <w:name w:val="footer"/>
    <w:basedOn w:val="1"/>
    <w:link w:val="10"/>
    <w:uiPriority w:val="0"/>
    <w:pPr>
      <w:tabs>
        <w:tab w:val="center" w:pos="4153"/>
        <w:tab w:val="right" w:pos="8306"/>
      </w:tabs>
      <w:snapToGrid w:val="0"/>
      <w:jc w:val="left"/>
    </w:pPr>
    <w:rPr>
      <w:rFonts w:cs="Times New Roman"/>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rFonts w:cs="Times New Roman"/>
      <w:sz w:val="18"/>
      <w:szCs w:val="18"/>
    </w:rPr>
  </w:style>
  <w:style w:type="paragraph" w:styleId="6">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9">
    <w:name w:val="纯文本 Char Char"/>
    <w:link w:val="3"/>
    <w:uiPriority w:val="0"/>
    <w:rPr>
      <w:rFonts w:ascii="宋体" w:hAnsi="Courier New" w:eastAsia="宋体" w:cs="Times New Roman"/>
      <w:sz w:val="20"/>
      <w:szCs w:val="20"/>
    </w:rPr>
  </w:style>
  <w:style w:type="character" w:customStyle="1" w:styleId="10">
    <w:name w:val="页脚 Char Char"/>
    <w:link w:val="4"/>
    <w:uiPriority w:val="0"/>
    <w:rPr>
      <w:rFonts w:cs="Times New Roman"/>
      <w:sz w:val="18"/>
      <w:szCs w:val="18"/>
    </w:rPr>
  </w:style>
  <w:style w:type="character" w:customStyle="1" w:styleId="11">
    <w:name w:val="页眉 Char Char"/>
    <w:link w:val="5"/>
    <w:uiPriority w:val="0"/>
    <w:rPr>
      <w:rFonts w:cs="Times New Roman"/>
      <w:sz w:val="18"/>
      <w:szCs w:val="18"/>
    </w:rPr>
  </w:style>
  <w:style w:type="paragraph" w:customStyle="1" w:styleId="12">
    <w:name w:val="_Style 2"/>
    <w:basedOn w:val="1"/>
    <w:uiPriority w:val="0"/>
    <w:pPr>
      <w:ind w:firstLine="420" w:firstLineChars="200"/>
    </w:pPr>
  </w:style>
  <w:style w:type="paragraph" w:customStyle="1" w:styleId="13">
    <w:name w:val="_Style 1"/>
    <w:basedOn w:val="1"/>
    <w:uiPriority w:val="0"/>
    <w:pPr>
      <w:ind w:firstLine="420" w:firstLineChars="200"/>
    </w:pPr>
  </w:style>
  <w:style w:type="paragraph" w:styleId="14">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1736</Words>
  <Characters>1760</Characters>
  <Lines>14</Lines>
  <Paragraphs>3</Paragraphs>
  <TotalTime>4</TotalTime>
  <ScaleCrop>false</ScaleCrop>
  <LinksUpToDate>false</LinksUpToDate>
  <CharactersWithSpaces>1893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2017-06-28T17:17:00Z</dcterms:created>
  <dc:creator>柳放</dc:creator>
  <cp:lastModifiedBy>vertesyuan</cp:lastModifiedBy>
  <cp:lastPrinted>2014-08-26T23:56:00Z</cp:lastPrinted>
  <dcterms:modified xsi:type="dcterms:W3CDTF">2024-10-11T14:31:12Z</dcterms:modified>
  <dc:title>《高等代数》考试大纲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06CB3BD03B57419E80230A51C4ED2A82_13</vt:lpwstr>
  </property>
</Properties>
</file>