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02"/>
        <w:spacing w:before="328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4"/>
        </w:rPr>
        <w:t>昆明理工大学硕士研究生入学考试《金融学综合》考试大纲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25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pStyle w:val="BodyText"/>
        <w:ind w:left="29"/>
        <w:spacing w:before="287" w:line="221" w:lineRule="auto"/>
        <w:rPr/>
      </w:pPr>
      <w:r>
        <w:rPr>
          <w:spacing w:val="-2"/>
        </w:rPr>
        <w:t>一、试卷满分及考试时间</w:t>
      </w:r>
    </w:p>
    <w:p>
      <w:pPr>
        <w:pStyle w:val="BodyText"/>
        <w:ind w:left="445"/>
        <w:spacing w:before="288" w:line="221" w:lineRule="auto"/>
        <w:rPr/>
      </w:pPr>
      <w:r>
        <w:rPr>
          <w:spacing w:val="-4"/>
        </w:rPr>
        <w:t>试卷满分为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2" w:line="221" w:lineRule="auto"/>
        <w:rPr/>
      </w:pPr>
      <w:r>
        <w:rPr>
          <w:spacing w:val="-3"/>
        </w:rPr>
        <w:t>二、答题方式</w:t>
      </w:r>
    </w:p>
    <w:p>
      <w:pPr>
        <w:pStyle w:val="BodyText"/>
        <w:ind w:left="445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21" w:lineRule="auto"/>
        <w:rPr/>
      </w:pPr>
      <w:r>
        <w:rPr>
          <w:spacing w:val="-2"/>
        </w:rPr>
        <w:t>三、试卷内容结构</w:t>
      </w:r>
    </w:p>
    <w:p>
      <w:pPr>
        <w:pStyle w:val="BodyText"/>
        <w:ind w:left="26"/>
        <w:spacing w:before="290" w:line="398" w:lineRule="auto"/>
        <w:rPr/>
      </w:pPr>
      <w:r>
        <w:rPr>
          <w:spacing w:val="-12"/>
        </w:rPr>
        <w:t>《金融学综合》包含两个部分，《金融学》和《公司金融学》，其中：</w:t>
      </w:r>
      <w:r>
        <w:rPr>
          <w:spacing w:val="13"/>
        </w:rPr>
        <w:t xml:space="preserve"> </w:t>
      </w:r>
      <w:r>
        <w:rPr>
          <w:spacing w:val="-1"/>
        </w:rPr>
        <w:t>《金融学》          </w:t>
      </w:r>
      <w:r>
        <w:rPr>
          <w:rFonts w:ascii="Times New Roman" w:hAnsi="Times New Roman" w:eastAsia="Times New Roman" w:cs="Times New Roman"/>
          <w:spacing w:val="-1"/>
        </w:rPr>
        <w:t>90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1"/>
        </w:rPr>
        <w:t>分</w:t>
      </w:r>
    </w:p>
    <w:p>
      <w:pPr>
        <w:pStyle w:val="BodyText"/>
        <w:ind w:left="26"/>
        <w:spacing w:before="41" w:line="221" w:lineRule="auto"/>
        <w:rPr/>
      </w:pPr>
      <w:r>
        <w:rPr>
          <w:spacing w:val="-1"/>
        </w:rPr>
        <w:t>《公司金融学》      </w:t>
      </w:r>
      <w:r>
        <w:rPr>
          <w:rFonts w:ascii="Times New Roman" w:hAnsi="Times New Roman" w:eastAsia="Times New Roman" w:cs="Times New Roman"/>
          <w:spacing w:val="-1"/>
        </w:rPr>
        <w:t>60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1"/>
        </w:rPr>
        <w:t>分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23" w:right="6093" w:firstLine="27"/>
        <w:spacing w:before="92" w:line="402" w:lineRule="auto"/>
        <w:rPr/>
      </w:pPr>
      <w:r>
        <w:rPr>
          <w:spacing w:val="-5"/>
        </w:rPr>
        <w:t>四、试卷题型结构</w:t>
      </w:r>
      <w:r>
        <w:rPr>
          <w:spacing w:val="3"/>
        </w:rPr>
        <w:t xml:space="preserve"> </w:t>
      </w:r>
      <w:r>
        <w:rPr>
          <w:spacing w:val="-2"/>
        </w:rPr>
        <w:t>试卷题型结构为：</w:t>
      </w:r>
      <w:r>
        <w:rPr>
          <w:spacing w:val="6"/>
        </w:rPr>
        <w:t xml:space="preserve"> </w:t>
      </w:r>
      <w:r>
        <w:rPr>
          <w:spacing w:val="-2"/>
        </w:rPr>
        <w:t>选择、判断题</w:t>
      </w:r>
    </w:p>
    <w:p>
      <w:pPr>
        <w:pStyle w:val="BodyText"/>
        <w:ind w:left="30" w:right="7214" w:hanging="2"/>
        <w:spacing w:before="40" w:line="398" w:lineRule="auto"/>
        <w:rPr/>
      </w:pPr>
      <w:r>
        <w:rPr>
          <w:spacing w:val="-4"/>
        </w:rPr>
        <w:t>名词解释</w:t>
      </w:r>
      <w:r>
        <w:rPr>
          <w:spacing w:val="1"/>
        </w:rPr>
        <w:t xml:space="preserve"> </w:t>
      </w:r>
      <w:r>
        <w:rPr>
          <w:spacing w:val="-5"/>
        </w:rPr>
        <w:t>简答题</w:t>
      </w:r>
    </w:p>
    <w:p>
      <w:pPr>
        <w:pStyle w:val="BodyText"/>
        <w:ind w:left="25" w:right="7494" w:firstLine="2"/>
        <w:spacing w:before="41" w:line="398" w:lineRule="auto"/>
        <w:rPr/>
      </w:pPr>
      <w:r>
        <w:rPr>
          <w:spacing w:val="-5"/>
        </w:rPr>
        <w:t>论述题</w:t>
      </w:r>
      <w:r>
        <w:rPr/>
        <w:t xml:space="preserve"> </w:t>
      </w:r>
      <w:r>
        <w:rPr>
          <w:spacing w:val="-4"/>
        </w:rPr>
        <w:t>计算题</w:t>
      </w:r>
    </w:p>
    <w:p>
      <w:pPr>
        <w:spacing w:line="398" w:lineRule="auto"/>
        <w:sectPr>
          <w:footerReference w:type="default" r:id="rId1"/>
          <w:pgSz w:w="11906" w:h="16839"/>
          <w:pgMar w:top="1431" w:right="1770" w:bottom="1994" w:left="1785" w:header="0" w:footer="1658" w:gutter="0"/>
        </w:sectPr>
        <w:rPr/>
      </w:pPr>
    </w:p>
    <w:p>
      <w:pPr>
        <w:ind w:left="25"/>
        <w:spacing w:before="18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ind w:left="3058"/>
        <w:spacing w:before="286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第一部分：金融学</w:t>
      </w:r>
    </w:p>
    <w:p>
      <w:pPr>
        <w:pStyle w:val="BodyText"/>
        <w:ind w:left="29"/>
        <w:spacing w:before="288" w:line="220" w:lineRule="auto"/>
        <w:rPr/>
      </w:pPr>
      <w:r>
        <w:rPr>
          <w:spacing w:val="-3"/>
        </w:rPr>
        <w:t>一、</w:t>
      </w:r>
      <w:r>
        <w:rPr>
          <w:spacing w:val="40"/>
        </w:rPr>
        <w:t xml:space="preserve"> </w:t>
      </w:r>
      <w:r>
        <w:rPr>
          <w:spacing w:val="-3"/>
        </w:rPr>
        <w:t>货币、货币制度与信用</w:t>
      </w:r>
    </w:p>
    <w:p>
      <w:pPr>
        <w:pStyle w:val="BodyText"/>
        <w:ind w:left="766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7"/>
        </w:rPr>
        <w:t>、 货币的职能与货币制度</w:t>
      </w:r>
    </w:p>
    <w:p>
      <w:pPr>
        <w:pStyle w:val="BodyText"/>
        <w:ind w:left="740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10"/>
        </w:rPr>
        <w:t>、</w:t>
      </w:r>
      <w:r>
        <w:rPr>
          <w:spacing w:val="19"/>
        </w:rPr>
        <w:t xml:space="preserve"> </w:t>
      </w:r>
      <w:r>
        <w:rPr>
          <w:spacing w:val="-10"/>
        </w:rPr>
        <w:t>国际货币体系</w:t>
      </w:r>
    </w:p>
    <w:p>
      <w:pPr>
        <w:pStyle w:val="BodyText"/>
        <w:ind w:left="745"/>
        <w:spacing w:before="289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5"/>
        </w:rPr>
        <w:t>、 现代信用活动的基础</w:t>
      </w:r>
    </w:p>
    <w:p>
      <w:pPr>
        <w:pStyle w:val="BodyText"/>
        <w:ind w:left="29" w:right="5939" w:firstLine="709"/>
        <w:spacing w:before="289" w:line="316" w:lineRule="auto"/>
        <w:rPr/>
      </w:pPr>
      <w:r>
        <w:rPr>
          <w:rFonts w:ascii="Times New Roman" w:hAnsi="Times New Roman" w:eastAsia="Times New Roman" w:cs="Times New Roman"/>
          <w:spacing w:val="-8"/>
        </w:rPr>
        <w:t>4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8"/>
        </w:rPr>
        <w:t>、 信用形式</w:t>
      </w:r>
      <w:r>
        <w:rPr/>
        <w:t xml:space="preserve"> </w:t>
      </w:r>
      <w:r>
        <w:rPr>
          <w:spacing w:val="-4"/>
        </w:rPr>
        <w:t>二、</w:t>
      </w:r>
      <w:r>
        <w:rPr>
          <w:spacing w:val="33"/>
        </w:rPr>
        <w:t xml:space="preserve"> </w:t>
      </w:r>
      <w:r>
        <w:rPr>
          <w:spacing w:val="-4"/>
        </w:rPr>
        <w:t>利息和利率</w:t>
      </w:r>
    </w:p>
    <w:p>
      <w:pPr>
        <w:pStyle w:val="BodyText"/>
        <w:ind w:left="766"/>
        <w:spacing w:before="289" w:line="223" w:lineRule="auto"/>
        <w:rPr/>
      </w:pPr>
      <w:r>
        <w:rPr>
          <w:rFonts w:ascii="Times New Roman" w:hAnsi="Times New Roman" w:eastAsia="Times New Roman" w:cs="Times New Roman"/>
          <w:spacing w:val="-17"/>
        </w:rPr>
        <w:t>1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17"/>
        </w:rPr>
        <w:t>、 利息</w:t>
      </w:r>
    </w:p>
    <w:p>
      <w:pPr>
        <w:pStyle w:val="BodyText"/>
        <w:ind w:left="740"/>
        <w:spacing w:before="286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5"/>
        </w:rPr>
        <w:t>、 利率的种类、作用</w:t>
      </w:r>
    </w:p>
    <w:p>
      <w:pPr>
        <w:pStyle w:val="BodyText"/>
        <w:ind w:left="745"/>
        <w:spacing w:before="289" w:line="221" w:lineRule="auto"/>
        <w:rPr/>
      </w:pP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7"/>
        </w:rPr>
        <w:t>、 利率决定理论</w:t>
      </w:r>
    </w:p>
    <w:p>
      <w:pPr>
        <w:pStyle w:val="BodyText"/>
        <w:ind w:left="25" w:right="3699" w:firstLine="713"/>
        <w:spacing w:before="289" w:line="316" w:lineRule="auto"/>
        <w:rPr/>
      </w:pP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4"/>
        </w:rPr>
        <w:t>、 利率的风险结构与期限结构</w:t>
      </w:r>
      <w:r>
        <w:rPr/>
        <w:t xml:space="preserve"> </w:t>
      </w:r>
      <w:r>
        <w:rPr>
          <w:spacing w:val="-4"/>
        </w:rPr>
        <w:t>三、</w:t>
      </w:r>
      <w:r>
        <w:rPr>
          <w:spacing w:val="37"/>
        </w:rPr>
        <w:t xml:space="preserve"> </w:t>
      </w:r>
      <w:r>
        <w:rPr>
          <w:spacing w:val="-4"/>
        </w:rPr>
        <w:t>外汇与汇率</w:t>
      </w:r>
    </w:p>
    <w:p>
      <w:pPr>
        <w:pStyle w:val="BodyText"/>
        <w:ind w:left="886"/>
        <w:spacing w:before="290" w:line="221" w:lineRule="auto"/>
        <w:rPr/>
      </w:pPr>
      <w:r>
        <w:rPr>
          <w:rFonts w:ascii="Times New Roman" w:hAnsi="Times New Roman" w:eastAsia="Times New Roman" w:cs="Times New Roman"/>
          <w:spacing w:val="-16"/>
        </w:rPr>
        <w:t>1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16"/>
        </w:rPr>
        <w:t>、外汇</w:t>
      </w:r>
    </w:p>
    <w:p>
      <w:pPr>
        <w:pStyle w:val="BodyText"/>
        <w:ind w:left="860"/>
        <w:spacing w:before="288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4"/>
        </w:rPr>
        <w:t>、汇率与汇率制度</w:t>
      </w:r>
    </w:p>
    <w:p>
      <w:pPr>
        <w:pStyle w:val="BodyText"/>
        <w:ind w:left="865"/>
        <w:spacing w:before="289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4"/>
        </w:rPr>
        <w:t>、币值、利率与汇率</w:t>
      </w:r>
    </w:p>
    <w:p>
      <w:pPr>
        <w:pStyle w:val="BodyText"/>
        <w:ind w:left="51" w:right="5379" w:firstLine="807"/>
        <w:spacing w:before="290" w:line="316" w:lineRule="auto"/>
        <w:rPr/>
      </w:pP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5"/>
        </w:rPr>
        <w:t>、汇率决定理论</w:t>
      </w:r>
      <w:r>
        <w:rPr/>
        <w:t xml:space="preserve"> </w:t>
      </w:r>
      <w:r>
        <w:rPr>
          <w:spacing w:val="-6"/>
        </w:rPr>
        <w:t>四、</w:t>
      </w:r>
      <w:r>
        <w:rPr>
          <w:spacing w:val="36"/>
        </w:rPr>
        <w:t xml:space="preserve"> </w:t>
      </w:r>
      <w:r>
        <w:rPr>
          <w:spacing w:val="-6"/>
        </w:rPr>
        <w:t>金融市场与机构</w:t>
      </w:r>
    </w:p>
    <w:p>
      <w:pPr>
        <w:pStyle w:val="BodyText"/>
        <w:ind w:left="766"/>
        <w:spacing w:before="289" w:line="221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8"/>
        </w:rPr>
        <w:t>、 金融市场及其要素</w:t>
      </w:r>
    </w:p>
    <w:p>
      <w:pPr>
        <w:pStyle w:val="BodyText"/>
        <w:ind w:left="740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8"/>
        </w:rPr>
        <w:t>、 货币市场</w:t>
      </w:r>
    </w:p>
    <w:p>
      <w:pPr>
        <w:pStyle w:val="BodyText"/>
        <w:ind w:left="745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9"/>
        </w:rPr>
        <w:t>3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9"/>
        </w:rPr>
        <w:t>、 资本市场</w:t>
      </w:r>
    </w:p>
    <w:p>
      <w:pPr>
        <w:pStyle w:val="BodyText"/>
        <w:ind w:left="738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 风险投资与创业板市场</w:t>
      </w:r>
    </w:p>
    <w:p>
      <w:pPr>
        <w:spacing w:line="220" w:lineRule="auto"/>
        <w:sectPr>
          <w:footerReference w:type="default" r:id="rId2"/>
          <w:pgSz w:w="11906" w:h="16839"/>
          <w:pgMar w:top="1431" w:right="1785" w:bottom="400" w:left="1785" w:header="0" w:footer="0" w:gutter="0"/>
        </w:sectPr>
        <w:rPr/>
      </w:pPr>
    </w:p>
    <w:p>
      <w:pPr>
        <w:pStyle w:val="BodyText"/>
        <w:ind w:left="747"/>
        <w:spacing w:before="180" w:line="221" w:lineRule="auto"/>
        <w:rPr/>
      </w:pPr>
      <w:r>
        <w:rPr>
          <w:rFonts w:ascii="Times New Roman" w:hAnsi="Times New Roman" w:eastAsia="Times New Roman" w:cs="Times New Roman"/>
          <w:spacing w:val="-7"/>
        </w:rPr>
        <w:t>5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7"/>
        </w:rPr>
        <w:t>、 衍生工具市场</w:t>
      </w:r>
    </w:p>
    <w:p>
      <w:pPr>
        <w:pStyle w:val="BodyText"/>
        <w:ind w:left="29" w:right="3997" w:firstLine="716"/>
        <w:spacing w:before="290" w:line="316" w:lineRule="auto"/>
        <w:rPr/>
      </w:pP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6"/>
        </w:rPr>
        <w:t>、 金融机构（种类、功能）</w:t>
      </w:r>
      <w:r>
        <w:rPr/>
        <w:t xml:space="preserve"> </w:t>
      </w:r>
      <w:r>
        <w:rPr>
          <w:spacing w:val="-6"/>
        </w:rPr>
        <w:t>五、</w:t>
      </w:r>
      <w:r>
        <w:rPr>
          <w:spacing w:val="40"/>
        </w:rPr>
        <w:t xml:space="preserve"> </w:t>
      </w:r>
      <w:r>
        <w:rPr>
          <w:spacing w:val="-6"/>
        </w:rPr>
        <w:t>商业银行</w:t>
      </w:r>
    </w:p>
    <w:p>
      <w:pPr>
        <w:pStyle w:val="BodyText"/>
        <w:ind w:left="766"/>
        <w:spacing w:before="287" w:line="221" w:lineRule="auto"/>
        <w:rPr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7"/>
        </w:rPr>
        <w:t>、 商业银行的负债业务</w:t>
      </w:r>
    </w:p>
    <w:p>
      <w:pPr>
        <w:pStyle w:val="BodyText"/>
        <w:ind w:left="740"/>
        <w:spacing w:before="288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5"/>
        </w:rPr>
        <w:t>、 商业银行的资产业务</w:t>
      </w:r>
    </w:p>
    <w:p>
      <w:pPr>
        <w:pStyle w:val="BodyText"/>
        <w:ind w:left="745"/>
        <w:spacing w:before="289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4"/>
        </w:rPr>
        <w:t>、 商业银行的中间业务和表外业务</w:t>
      </w:r>
    </w:p>
    <w:p>
      <w:pPr>
        <w:pStyle w:val="BodyText"/>
        <w:ind w:left="27" w:right="4539" w:firstLine="711"/>
        <w:spacing w:before="289" w:line="316" w:lineRule="auto"/>
        <w:rPr/>
      </w:pP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5"/>
        </w:rPr>
        <w:t>、 商业银行的风险特征</w:t>
      </w:r>
      <w:r>
        <w:rPr/>
        <w:t xml:space="preserve"> </w:t>
      </w:r>
      <w:r>
        <w:rPr>
          <w:spacing w:val="-3"/>
        </w:rPr>
        <w:t>六、</w:t>
      </w:r>
      <w:r>
        <w:rPr>
          <w:spacing w:val="37"/>
        </w:rPr>
        <w:t xml:space="preserve"> </w:t>
      </w:r>
      <w:r>
        <w:rPr>
          <w:spacing w:val="-3"/>
        </w:rPr>
        <w:t>现代货币创造机制</w:t>
      </w:r>
    </w:p>
    <w:p>
      <w:pPr>
        <w:pStyle w:val="BodyText"/>
        <w:ind w:left="766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7"/>
        </w:rPr>
        <w:t>、 存款货币的创造机制</w:t>
      </w:r>
    </w:p>
    <w:p>
      <w:pPr>
        <w:pStyle w:val="BodyText"/>
        <w:ind w:left="740"/>
        <w:spacing w:before="291" w:line="221" w:lineRule="auto"/>
        <w:rPr/>
      </w:pPr>
      <w:r>
        <w:rPr>
          <w:rFonts w:ascii="Times New Roman" w:hAnsi="Times New Roman" w:eastAsia="Times New Roman" w:cs="Times New Roman"/>
          <w:spacing w:val="-9"/>
        </w:rPr>
        <w:t>2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9"/>
        </w:rPr>
        <w:t>、</w:t>
      </w:r>
      <w:r>
        <w:rPr>
          <w:spacing w:val="17"/>
        </w:rPr>
        <w:t xml:space="preserve"> </w:t>
      </w:r>
      <w:r>
        <w:rPr>
          <w:spacing w:val="-9"/>
        </w:rPr>
        <w:t>中央银行职能</w:t>
      </w:r>
    </w:p>
    <w:p>
      <w:pPr>
        <w:pStyle w:val="BodyText"/>
        <w:ind w:left="745"/>
        <w:spacing w:before="288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4"/>
        </w:rPr>
        <w:t>、 中央银行体制下的货币创造过程</w:t>
      </w:r>
    </w:p>
    <w:p>
      <w:pPr>
        <w:pStyle w:val="BodyText"/>
        <w:ind w:left="23" w:right="2579" w:firstLine="714"/>
        <w:spacing w:before="290" w:line="316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3"/>
        </w:rPr>
        <w:t>、 对现代货币供给形成机制的总体评价</w:t>
      </w:r>
      <w:r>
        <w:rPr/>
        <w:t xml:space="preserve"> </w:t>
      </w:r>
      <w:r>
        <w:rPr>
          <w:spacing w:val="-3"/>
        </w:rPr>
        <w:t>七、</w:t>
      </w:r>
      <w:r>
        <w:rPr>
          <w:spacing w:val="37"/>
        </w:rPr>
        <w:t xml:space="preserve"> </w:t>
      </w:r>
      <w:r>
        <w:rPr>
          <w:spacing w:val="-3"/>
        </w:rPr>
        <w:t>货币供给与均衡</w:t>
      </w:r>
    </w:p>
    <w:p>
      <w:pPr>
        <w:pStyle w:val="BodyText"/>
        <w:ind w:left="766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9"/>
        </w:rPr>
        <w:t>、 货币需求理论</w:t>
      </w:r>
    </w:p>
    <w:p>
      <w:pPr>
        <w:pStyle w:val="BodyText"/>
        <w:ind w:left="740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3"/>
        </w:rPr>
        <w:t>、 货币需求分析的微观角度与宏观角度</w:t>
      </w:r>
    </w:p>
    <w:p>
      <w:pPr>
        <w:pStyle w:val="BodyText"/>
        <w:ind w:left="745"/>
        <w:spacing w:before="291" w:line="220" w:lineRule="auto"/>
        <w:rPr/>
      </w:pPr>
      <w:r>
        <w:rPr>
          <w:rFonts w:ascii="Times New Roman" w:hAnsi="Times New Roman" w:eastAsia="Times New Roman" w:cs="Times New Roman"/>
          <w:spacing w:val="-9"/>
        </w:rPr>
        <w:t>3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9"/>
        </w:rPr>
        <w:t>、 货币供给</w:t>
      </w:r>
    </w:p>
    <w:p>
      <w:pPr>
        <w:pStyle w:val="BodyText"/>
        <w:ind w:left="738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4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8"/>
        </w:rPr>
        <w:t>、 货币均衡</w:t>
      </w:r>
    </w:p>
    <w:p>
      <w:pPr>
        <w:pStyle w:val="BodyText"/>
        <w:ind w:left="29" w:right="4539" w:firstLine="718"/>
        <w:spacing w:before="289" w:line="316" w:lineRule="auto"/>
        <w:rPr/>
      </w:pP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6"/>
        </w:rPr>
        <w:t>、 通货膨胀与通货紧缩</w:t>
      </w:r>
      <w:r>
        <w:rPr/>
        <w:t xml:space="preserve"> </w:t>
      </w:r>
      <w:r>
        <w:rPr>
          <w:spacing w:val="-6"/>
        </w:rPr>
        <w:t>八、</w:t>
      </w:r>
      <w:r>
        <w:rPr>
          <w:spacing w:val="40"/>
        </w:rPr>
        <w:t xml:space="preserve"> </w:t>
      </w:r>
      <w:r>
        <w:rPr>
          <w:spacing w:val="-6"/>
        </w:rPr>
        <w:t>货币政策</w:t>
      </w:r>
    </w:p>
    <w:p>
      <w:pPr>
        <w:pStyle w:val="BodyText"/>
        <w:ind w:left="766"/>
        <w:spacing w:before="291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8"/>
        </w:rPr>
        <w:t>、 货币政策及其目标</w:t>
      </w:r>
    </w:p>
    <w:p>
      <w:pPr>
        <w:pStyle w:val="BodyText"/>
        <w:ind w:left="740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6"/>
        </w:rPr>
        <w:t>、 货币政策工具</w:t>
      </w:r>
    </w:p>
    <w:p>
      <w:pPr>
        <w:pStyle w:val="BodyText"/>
        <w:ind w:left="745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4"/>
        </w:rPr>
        <w:t>、 货币政策的传导机制与中介指标</w:t>
      </w:r>
    </w:p>
    <w:p>
      <w:pPr>
        <w:spacing w:line="220" w:lineRule="auto"/>
        <w:sectPr>
          <w:pgSz w:w="11906" w:h="16839"/>
          <w:pgMar w:top="1431" w:right="1785" w:bottom="400" w:left="1785" w:header="0" w:footer="0" w:gutter="0"/>
        </w:sectPr>
        <w:rPr/>
      </w:pPr>
    </w:p>
    <w:p>
      <w:pPr>
        <w:pStyle w:val="BodyText"/>
        <w:ind w:left="738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6"/>
        </w:rPr>
        <w:t>、 货币政策效应</w:t>
      </w:r>
    </w:p>
    <w:p>
      <w:pPr>
        <w:pStyle w:val="BodyText"/>
        <w:ind w:left="31" w:right="1739" w:firstLine="715"/>
        <w:spacing w:before="289" w:line="316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3"/>
        </w:rPr>
        <w:t>、 开放条件下货币政策的国际传导与政策协调</w:t>
      </w:r>
      <w:r>
        <w:rPr/>
        <w:t xml:space="preserve"> </w:t>
      </w:r>
      <w:r>
        <w:rPr>
          <w:spacing w:val="-5"/>
        </w:rPr>
        <w:t>九、</w:t>
      </w:r>
      <w:r>
        <w:rPr>
          <w:spacing w:val="68"/>
        </w:rPr>
        <w:t xml:space="preserve"> </w:t>
      </w:r>
      <w:r>
        <w:rPr>
          <w:spacing w:val="-5"/>
        </w:rPr>
        <w:t>国际收支与国际资本流动</w:t>
      </w:r>
    </w:p>
    <w:p>
      <w:pPr>
        <w:pStyle w:val="BodyText"/>
        <w:ind w:left="752"/>
        <w:spacing w:before="289" w:line="221" w:lineRule="auto"/>
        <w:rPr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7"/>
        </w:rPr>
        <w:t>、</w:t>
      </w:r>
      <w:r>
        <w:rPr>
          <w:spacing w:val="34"/>
        </w:rPr>
        <w:t xml:space="preserve"> </w:t>
      </w:r>
      <w:r>
        <w:rPr>
          <w:spacing w:val="-7"/>
        </w:rPr>
        <w:t>国际收支以及国际收支的调节</w:t>
      </w:r>
    </w:p>
    <w:p>
      <w:pPr>
        <w:pStyle w:val="BodyText"/>
        <w:ind w:left="725"/>
        <w:spacing w:before="289" w:line="221" w:lineRule="auto"/>
        <w:rPr/>
      </w:pPr>
      <w:r>
        <w:rPr>
          <w:rFonts w:ascii="Times New Roman" w:hAnsi="Times New Roman" w:eastAsia="Times New Roman" w:cs="Times New Roman"/>
          <w:spacing w:val="-13"/>
        </w:rPr>
        <w:t>2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13"/>
        </w:rPr>
        <w:t>、</w:t>
      </w:r>
      <w:r>
        <w:rPr>
          <w:spacing w:val="33"/>
        </w:rPr>
        <w:t xml:space="preserve"> </w:t>
      </w:r>
      <w:r>
        <w:rPr>
          <w:spacing w:val="-13"/>
        </w:rPr>
        <w:t>国际储备</w:t>
      </w:r>
    </w:p>
    <w:p>
      <w:pPr>
        <w:pStyle w:val="BodyText"/>
        <w:ind w:left="731"/>
        <w:spacing w:before="288" w:line="220" w:lineRule="auto"/>
        <w:rPr/>
      </w:pPr>
      <w:r>
        <w:rPr>
          <w:rFonts w:ascii="Times New Roman" w:hAnsi="Times New Roman" w:eastAsia="Times New Roman" w:cs="Times New Roman"/>
          <w:spacing w:val="-10"/>
        </w:rPr>
        <w:t>3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10"/>
        </w:rPr>
        <w:t>、</w:t>
      </w:r>
      <w:r>
        <w:rPr>
          <w:spacing w:val="33"/>
        </w:rPr>
        <w:t xml:space="preserve"> </w:t>
      </w:r>
      <w:r>
        <w:rPr>
          <w:spacing w:val="-10"/>
        </w:rPr>
        <w:t>国际资本流动</w:t>
      </w:r>
    </w:p>
    <w:p>
      <w:pPr>
        <w:pStyle w:val="BodyText"/>
        <w:ind w:left="26" w:right="4539" w:firstLine="698"/>
        <w:spacing w:before="291" w:line="316" w:lineRule="auto"/>
        <w:rPr/>
      </w:pP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4"/>
        </w:rPr>
        <w:t>、 对外收支与货币均衡</w:t>
      </w:r>
      <w:r>
        <w:rPr/>
        <w:t xml:space="preserve"> </w:t>
      </w:r>
      <w:r>
        <w:rPr>
          <w:spacing w:val="-4"/>
        </w:rPr>
        <w:t>十、</w:t>
      </w:r>
      <w:r>
        <w:rPr>
          <w:spacing w:val="32"/>
        </w:rPr>
        <w:t xml:space="preserve"> </w:t>
      </w:r>
      <w:r>
        <w:rPr>
          <w:spacing w:val="-4"/>
        </w:rPr>
        <w:t>金融监管</w:t>
      </w:r>
    </w:p>
    <w:p>
      <w:pPr>
        <w:pStyle w:val="BodyText"/>
        <w:ind w:left="766"/>
        <w:spacing w:before="289" w:line="221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8"/>
        </w:rPr>
        <w:t>、金融监管理论</w:t>
      </w:r>
    </w:p>
    <w:p>
      <w:pPr>
        <w:pStyle w:val="BodyText"/>
        <w:ind w:left="740"/>
        <w:spacing w:before="289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5"/>
        </w:rPr>
        <w:t>、巴塞尔协议</w:t>
      </w:r>
    </w:p>
    <w:p>
      <w:pPr>
        <w:pStyle w:val="BodyText"/>
        <w:ind w:left="745"/>
        <w:spacing w:before="289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6"/>
        </w:rPr>
        <w:t>、金融机构监管</w:t>
      </w:r>
    </w:p>
    <w:p>
      <w:pPr>
        <w:pStyle w:val="BodyText"/>
        <w:ind w:left="738"/>
        <w:spacing w:before="289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5"/>
        </w:rPr>
        <w:t>、金融市场监管</w:t>
      </w:r>
    </w:p>
    <w:p>
      <w:pPr>
        <w:ind w:left="2777"/>
        <w:spacing w:before="289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第二部分：公司金融学</w:t>
      </w:r>
    </w:p>
    <w:p>
      <w:pPr>
        <w:pStyle w:val="BodyText"/>
        <w:ind w:left="29"/>
        <w:spacing w:before="288" w:line="221" w:lineRule="auto"/>
        <w:rPr/>
      </w:pPr>
      <w:r>
        <w:rPr>
          <w:spacing w:val="-5"/>
        </w:rPr>
        <w:t>一、</w:t>
      </w:r>
      <w:r>
        <w:rPr>
          <w:spacing w:val="45"/>
        </w:rPr>
        <w:t xml:space="preserve"> </w:t>
      </w:r>
      <w:r>
        <w:rPr>
          <w:spacing w:val="-5"/>
        </w:rPr>
        <w:t>公司金融概述</w:t>
      </w:r>
    </w:p>
    <w:p>
      <w:pPr>
        <w:pStyle w:val="BodyText"/>
        <w:ind w:left="766"/>
        <w:spacing w:before="288" w:line="221" w:lineRule="auto"/>
        <w:rPr/>
      </w:pP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9"/>
        </w:rPr>
        <w:t>、 什么是公司金融</w:t>
      </w:r>
    </w:p>
    <w:p>
      <w:pPr>
        <w:pStyle w:val="BodyText"/>
        <w:ind w:left="740"/>
        <w:spacing w:before="290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4"/>
        </w:rPr>
        <w:t>、 公司金融目标、原则与环境</w:t>
      </w:r>
    </w:p>
    <w:p>
      <w:pPr>
        <w:pStyle w:val="BodyText"/>
        <w:ind w:left="29" w:right="5379" w:firstLine="716"/>
        <w:spacing w:before="289" w:line="316" w:lineRule="auto"/>
        <w:rPr/>
      </w:pP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7"/>
        </w:rPr>
        <w:t>、 公司治理理论</w:t>
      </w:r>
      <w:r>
        <w:rPr/>
        <w:t xml:space="preserve"> </w:t>
      </w:r>
      <w:r>
        <w:rPr>
          <w:spacing w:val="-4"/>
        </w:rPr>
        <w:t>二、</w:t>
      </w:r>
      <w:r>
        <w:rPr>
          <w:spacing w:val="37"/>
        </w:rPr>
        <w:t xml:space="preserve"> </w:t>
      </w:r>
      <w:r>
        <w:rPr>
          <w:spacing w:val="-4"/>
        </w:rPr>
        <w:t>财务报表分析</w:t>
      </w:r>
    </w:p>
    <w:p>
      <w:pPr>
        <w:pStyle w:val="BodyText"/>
        <w:ind w:left="766"/>
        <w:spacing w:before="289" w:line="220" w:lineRule="auto"/>
        <w:rPr/>
      </w:pPr>
      <w:r>
        <w:rPr>
          <w:rFonts w:ascii="Times New Roman" w:hAnsi="Times New Roman" w:eastAsia="Times New Roman" w:cs="Times New Roman"/>
          <w:spacing w:val="-12"/>
        </w:rPr>
        <w:t>1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12"/>
        </w:rPr>
        <w:t>、 会计报表</w:t>
      </w:r>
    </w:p>
    <w:p>
      <w:pPr>
        <w:pStyle w:val="BodyText"/>
        <w:ind w:left="740"/>
        <w:spacing w:before="290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5"/>
        </w:rPr>
        <w:t>、 财务报表比例分析</w:t>
      </w:r>
    </w:p>
    <w:p>
      <w:pPr>
        <w:pStyle w:val="BodyText"/>
        <w:ind w:left="25" w:right="5379" w:firstLine="720"/>
        <w:spacing w:before="289" w:line="316" w:lineRule="auto"/>
        <w:rPr/>
      </w:pP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7"/>
        </w:rPr>
        <w:t>、 公司业绩评价</w:t>
      </w:r>
      <w:r>
        <w:rPr/>
        <w:t xml:space="preserve"> </w:t>
      </w:r>
      <w:r>
        <w:rPr>
          <w:spacing w:val="-3"/>
        </w:rPr>
        <w:t>三、</w:t>
      </w:r>
      <w:r>
        <w:rPr>
          <w:spacing w:val="33"/>
        </w:rPr>
        <w:t xml:space="preserve"> </w:t>
      </w:r>
      <w:r>
        <w:rPr>
          <w:spacing w:val="-3"/>
        </w:rPr>
        <w:t>长期财务规划</w:t>
      </w:r>
    </w:p>
    <w:p>
      <w:pPr>
        <w:spacing w:line="316" w:lineRule="auto"/>
        <w:sectPr>
          <w:pgSz w:w="11906" w:h="16839"/>
          <w:pgMar w:top="1431" w:right="1785" w:bottom="400" w:left="1785" w:header="0" w:footer="0" w:gutter="0"/>
        </w:sectPr>
        <w:rPr/>
      </w:pPr>
    </w:p>
    <w:p>
      <w:pPr>
        <w:pStyle w:val="BodyText"/>
        <w:ind w:left="766"/>
        <w:spacing w:before="181" w:line="221" w:lineRule="auto"/>
        <w:rPr/>
      </w:pP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9"/>
        </w:rPr>
        <w:t>、 销售百分比法</w:t>
      </w:r>
    </w:p>
    <w:p>
      <w:pPr>
        <w:pStyle w:val="BodyText"/>
        <w:ind w:left="51" w:right="5099" w:firstLine="688"/>
        <w:spacing w:before="289" w:line="315" w:lineRule="auto"/>
        <w:rPr/>
      </w:pP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6"/>
        </w:rPr>
        <w:t>、 外部融资与增长</w:t>
      </w:r>
      <w:r>
        <w:rPr/>
        <w:t xml:space="preserve"> </w:t>
      </w:r>
      <w:r>
        <w:rPr>
          <w:spacing w:val="-7"/>
        </w:rPr>
        <w:t>四、</w:t>
      </w:r>
      <w:r>
        <w:rPr>
          <w:spacing w:val="32"/>
        </w:rPr>
        <w:t xml:space="preserve"> </w:t>
      </w:r>
      <w:r>
        <w:rPr>
          <w:spacing w:val="-7"/>
        </w:rPr>
        <w:t>折现与价值</w:t>
      </w:r>
    </w:p>
    <w:p>
      <w:pPr>
        <w:pStyle w:val="BodyText"/>
        <w:ind w:left="766"/>
        <w:spacing w:before="291" w:line="219" w:lineRule="auto"/>
        <w:rPr/>
      </w:pP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9"/>
        </w:rPr>
        <w:t>、 货币的时间价值</w:t>
      </w:r>
    </w:p>
    <w:p>
      <w:pPr>
        <w:pStyle w:val="BodyText"/>
        <w:ind w:left="740"/>
        <w:spacing w:before="292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6"/>
        </w:rPr>
        <w:t>、 现金流与折现</w:t>
      </w:r>
    </w:p>
    <w:p>
      <w:pPr>
        <w:pStyle w:val="BodyText"/>
        <w:ind w:left="745"/>
        <w:spacing w:before="288" w:line="219" w:lineRule="auto"/>
        <w:rPr/>
      </w:pP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8"/>
        </w:rPr>
        <w:t>、 债券的估值</w:t>
      </w:r>
    </w:p>
    <w:p>
      <w:pPr>
        <w:pStyle w:val="BodyText"/>
        <w:ind w:left="29" w:right="5658" w:firstLine="709"/>
        <w:spacing w:before="291" w:line="316" w:lineRule="auto"/>
        <w:rPr/>
      </w:pPr>
      <w:r>
        <w:rPr>
          <w:rFonts w:ascii="Times New Roman" w:hAnsi="Times New Roman" w:eastAsia="Times New Roman" w:cs="Times New Roman"/>
          <w:spacing w:val="-7"/>
        </w:rPr>
        <w:t>4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7"/>
        </w:rPr>
        <w:t>、 股票的估值</w:t>
      </w:r>
      <w:r>
        <w:rPr/>
        <w:t xml:space="preserve"> </w:t>
      </w:r>
      <w:r>
        <w:rPr>
          <w:spacing w:val="-7"/>
        </w:rPr>
        <w:t>五、</w:t>
      </w:r>
      <w:r>
        <w:rPr>
          <w:spacing w:val="46"/>
        </w:rPr>
        <w:t xml:space="preserve"> </w:t>
      </w:r>
      <w:r>
        <w:rPr>
          <w:spacing w:val="-7"/>
        </w:rPr>
        <w:t>资本预算</w:t>
      </w:r>
    </w:p>
    <w:p>
      <w:pPr>
        <w:pStyle w:val="BodyText"/>
        <w:ind w:left="766"/>
        <w:spacing w:before="290" w:line="221" w:lineRule="auto"/>
        <w:rPr/>
      </w:pP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9"/>
        </w:rPr>
        <w:t>、 投资决策方法</w:t>
      </w:r>
    </w:p>
    <w:p>
      <w:pPr>
        <w:pStyle w:val="BodyText"/>
        <w:ind w:left="740"/>
        <w:spacing w:before="290" w:line="221" w:lineRule="auto"/>
        <w:rPr/>
      </w:pPr>
      <w:r>
        <w:rPr>
          <w:rFonts w:ascii="Times New Roman" w:hAnsi="Times New Roman" w:eastAsia="Times New Roman" w:cs="Times New Roman"/>
          <w:spacing w:val="-7"/>
        </w:rPr>
        <w:t>2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7"/>
        </w:rPr>
        <w:t>、 增量现金流</w:t>
      </w:r>
    </w:p>
    <w:p>
      <w:pPr>
        <w:pStyle w:val="BodyText"/>
        <w:ind w:left="745"/>
        <w:spacing w:before="287" w:line="221" w:lineRule="auto"/>
        <w:rPr/>
      </w:pP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8"/>
        </w:rPr>
        <w:t>、 净现值运用</w:t>
      </w:r>
    </w:p>
    <w:p>
      <w:pPr>
        <w:pStyle w:val="BodyText"/>
        <w:ind w:left="27" w:right="4259" w:firstLine="711"/>
        <w:spacing w:before="290" w:line="316" w:lineRule="auto"/>
        <w:rPr/>
      </w:pP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 资本运算中的风险分析</w:t>
      </w:r>
      <w:r>
        <w:rPr/>
        <w:t xml:space="preserve"> </w:t>
      </w:r>
      <w:r>
        <w:rPr>
          <w:spacing w:val="-4"/>
        </w:rPr>
        <w:t>六、</w:t>
      </w:r>
      <w:r>
        <w:rPr>
          <w:spacing w:val="35"/>
        </w:rPr>
        <w:t xml:space="preserve"> </w:t>
      </w:r>
      <w:r>
        <w:rPr>
          <w:spacing w:val="-4"/>
        </w:rPr>
        <w:t>风险与收益</w:t>
      </w:r>
    </w:p>
    <w:p>
      <w:pPr>
        <w:pStyle w:val="BodyText"/>
        <w:ind w:left="766"/>
        <w:spacing w:before="289" w:line="221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8"/>
        </w:rPr>
        <w:t>、 风险与收益的度量</w:t>
      </w:r>
    </w:p>
    <w:p>
      <w:pPr>
        <w:pStyle w:val="BodyText"/>
        <w:ind w:left="740"/>
        <w:spacing w:before="288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6"/>
        </w:rPr>
        <w:t>、 均值方差模型</w:t>
      </w:r>
    </w:p>
    <w:p>
      <w:pPr>
        <w:pStyle w:val="BodyText"/>
        <w:ind w:left="745"/>
        <w:spacing w:before="290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6"/>
        </w:rPr>
        <w:t>、 资本资产定价模型</w:t>
      </w:r>
    </w:p>
    <w:p>
      <w:pPr>
        <w:pStyle w:val="BodyText"/>
        <w:ind w:left="23" w:right="5099" w:firstLine="714"/>
        <w:spacing w:before="291" w:line="316" w:lineRule="auto"/>
        <w:rPr/>
      </w:pP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6"/>
        </w:rPr>
        <w:t>、 无套利定价模型</w:t>
      </w:r>
      <w:r>
        <w:rPr/>
        <w:t xml:space="preserve"> </w:t>
      </w:r>
      <w:r>
        <w:rPr>
          <w:spacing w:val="-2"/>
        </w:rPr>
        <w:t>七、</w:t>
      </w:r>
      <w:r>
        <w:rPr>
          <w:spacing w:val="30"/>
        </w:rPr>
        <w:t xml:space="preserve"> </w:t>
      </w:r>
      <w:r>
        <w:rPr>
          <w:spacing w:val="-2"/>
        </w:rPr>
        <w:t>加权平均资本成本</w:t>
      </w:r>
    </w:p>
    <w:p>
      <w:pPr>
        <w:pStyle w:val="BodyText"/>
        <w:ind w:left="766"/>
        <w:spacing w:before="290" w:line="219" w:lineRule="auto"/>
        <w:rPr/>
      </w:pPr>
      <w:r>
        <w:rPr>
          <w:rFonts w:ascii="Times New Roman" w:hAnsi="Times New Roman" w:eastAsia="Times New Roman" w:cs="Times New Roman"/>
          <w:spacing w:val="-32"/>
        </w:rPr>
        <w:t>1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32"/>
        </w:rPr>
        <w:t>、</w:t>
      </w:r>
      <w:r>
        <w:rPr>
          <w:spacing w:val="11"/>
        </w:rPr>
        <w:t xml:space="preserve"> </w:t>
      </w:r>
      <w:r>
        <w:rPr>
          <w:spacing w:val="-32"/>
        </w:rPr>
        <w:t>贝塔</w:t>
      </w:r>
      <w:r>
        <w:rPr>
          <w:spacing w:val="16"/>
        </w:rPr>
        <w:t xml:space="preserve"> </w:t>
      </w:r>
      <w:r>
        <w:rPr>
          <w:spacing w:val="-32"/>
        </w:rPr>
        <w:t>(</w:t>
      </w:r>
      <w:r>
        <w:rPr>
          <w:spacing w:val="-30"/>
        </w:rPr>
        <w:t xml:space="preserve"> </w:t>
      </w:r>
      <w:r>
        <w:rPr>
          <w:spacing w:val="-32"/>
        </w:rPr>
        <w:t>β</w:t>
      </w:r>
      <w:r>
        <w:rPr>
          <w:spacing w:val="-99"/>
        </w:rPr>
        <w:t xml:space="preserve"> </w:t>
      </w:r>
      <w:r>
        <w:rPr>
          <w:spacing w:val="-32"/>
        </w:rPr>
        <w:t>)</w:t>
      </w:r>
      <w:r>
        <w:rPr>
          <w:spacing w:val="52"/>
        </w:rPr>
        <w:t xml:space="preserve"> </w:t>
      </w:r>
      <w:r>
        <w:rPr>
          <w:spacing w:val="-32"/>
        </w:rPr>
        <w:t>的估计</w:t>
      </w:r>
    </w:p>
    <w:p>
      <w:pPr>
        <w:pStyle w:val="BodyText"/>
        <w:ind w:left="29" w:right="3718" w:firstLine="710"/>
        <w:spacing w:before="291" w:line="316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5"/>
        </w:rPr>
        <w:t>、 加权平均资本成本（WACC）</w:t>
      </w:r>
      <w:r>
        <w:rPr/>
        <w:t xml:space="preserve"> </w:t>
      </w:r>
      <w:r>
        <w:rPr>
          <w:spacing w:val="-4"/>
        </w:rPr>
        <w:t>八、</w:t>
      </w:r>
      <w:r>
        <w:rPr>
          <w:spacing w:val="37"/>
        </w:rPr>
        <w:t xml:space="preserve"> </w:t>
      </w:r>
      <w:r>
        <w:rPr>
          <w:spacing w:val="-4"/>
        </w:rPr>
        <w:t>有效市场假说</w:t>
      </w:r>
    </w:p>
    <w:p>
      <w:pPr>
        <w:pStyle w:val="BodyText"/>
        <w:ind w:left="766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7"/>
        </w:rPr>
        <w:t>、 有效资本市场的概念</w:t>
      </w:r>
    </w:p>
    <w:p>
      <w:pPr>
        <w:spacing w:line="220" w:lineRule="auto"/>
        <w:sectPr>
          <w:pgSz w:w="11906" w:h="16839"/>
          <w:pgMar w:top="1431" w:right="1785" w:bottom="400" w:left="1785" w:header="0" w:footer="0" w:gutter="0"/>
        </w:sectPr>
        <w:rPr/>
      </w:pPr>
    </w:p>
    <w:p>
      <w:pPr>
        <w:pStyle w:val="BodyText"/>
        <w:ind w:left="740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5"/>
        </w:rPr>
        <w:t>、 有效资本市场的形式</w:t>
      </w:r>
    </w:p>
    <w:p>
      <w:pPr>
        <w:pStyle w:val="BodyText"/>
        <w:ind w:left="31" w:right="4539" w:firstLine="713"/>
        <w:spacing w:before="291" w:line="315" w:lineRule="auto"/>
        <w:rPr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6"/>
        </w:rPr>
        <w:t>、 有效市场与公司金融</w:t>
      </w:r>
      <w:r>
        <w:rPr/>
        <w:t xml:space="preserve"> </w:t>
      </w:r>
      <w:r>
        <w:rPr>
          <w:spacing w:val="-4"/>
        </w:rPr>
        <w:t>九、</w:t>
      </w:r>
      <w:r>
        <w:rPr>
          <w:spacing w:val="47"/>
        </w:rPr>
        <w:t xml:space="preserve"> </w:t>
      </w:r>
      <w:r>
        <w:rPr>
          <w:spacing w:val="-4"/>
        </w:rPr>
        <w:t>资本结构与公司价值</w:t>
      </w:r>
    </w:p>
    <w:p>
      <w:pPr>
        <w:pStyle w:val="BodyText"/>
        <w:ind w:left="766"/>
        <w:spacing w:before="291" w:line="221" w:lineRule="auto"/>
        <w:rPr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7"/>
        </w:rPr>
        <w:t>、 债务融资与股权融资</w:t>
      </w:r>
    </w:p>
    <w:p>
      <w:pPr>
        <w:pStyle w:val="BodyText"/>
        <w:ind w:left="740"/>
        <w:spacing w:before="289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8"/>
        </w:rPr>
        <w:t>、 资本结构</w:t>
      </w:r>
    </w:p>
    <w:p>
      <w:pPr>
        <w:pStyle w:val="BodyText"/>
        <w:ind w:left="745"/>
        <w:spacing w:before="291" w:line="221" w:lineRule="auto"/>
        <w:rPr/>
      </w:pPr>
      <w:r>
        <w:rPr>
          <w:rFonts w:ascii="Times New Roman" w:hAnsi="Times New Roman" w:eastAsia="Times New Roman" w:cs="Times New Roman"/>
          <w:spacing w:val="-11"/>
        </w:rPr>
        <w:t>3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11"/>
        </w:rPr>
        <w:t>、 </w:t>
      </w:r>
      <w:r>
        <w:rPr>
          <w:rFonts w:ascii="Times New Roman" w:hAnsi="Times New Roman" w:eastAsia="Times New Roman" w:cs="Times New Roman"/>
          <w:spacing w:val="-11"/>
        </w:rPr>
        <w:t>MM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11"/>
        </w:rPr>
        <w:t>定理</w:t>
      </w:r>
    </w:p>
    <w:p>
      <w:pPr>
        <w:pStyle w:val="BodyText"/>
        <w:ind w:left="26"/>
        <w:spacing w:before="288" w:line="219" w:lineRule="auto"/>
        <w:rPr/>
      </w:pPr>
      <w:r>
        <w:rPr>
          <w:spacing w:val="-3"/>
        </w:rPr>
        <w:t>十、</w:t>
      </w:r>
      <w:r>
        <w:rPr>
          <w:spacing w:val="47"/>
        </w:rPr>
        <w:t xml:space="preserve"> </w:t>
      </w:r>
      <w:r>
        <w:rPr>
          <w:spacing w:val="-3"/>
        </w:rPr>
        <w:t>公司价值评估与股利政策</w:t>
      </w:r>
    </w:p>
    <w:p>
      <w:pPr>
        <w:pStyle w:val="BodyText"/>
        <w:ind w:left="766"/>
        <w:spacing w:before="291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6"/>
        </w:rPr>
        <w:t>、 公司价值评估的主要方法</w:t>
      </w:r>
    </w:p>
    <w:p>
      <w:pPr>
        <w:pStyle w:val="BodyText"/>
        <w:ind w:left="740"/>
        <w:spacing w:before="292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5"/>
        </w:rPr>
        <w:t>、 三种方法的运用与比较</w:t>
      </w:r>
    </w:p>
    <w:p>
      <w:pPr>
        <w:pStyle w:val="BodyText"/>
        <w:ind w:left="745"/>
        <w:spacing w:before="289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5"/>
        </w:rPr>
        <w:t>、 公司股利政策相关理论</w:t>
      </w:r>
    </w:p>
    <w:sectPr>
      <w:pgSz w:w="11906" w:h="16839"/>
      <w:pgMar w:top="1431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6"/>
      <w:spacing w:before="1" w:line="214" w:lineRule="auto"/>
      <w:rPr/>
    </w:pPr>
    <w:r>
      <w:rPr>
        <w:spacing w:val="-7"/>
      </w:rPr>
      <w:t>合计</w:t>
    </w:r>
    <w:r>
      <w:rPr>
        <w:spacing w:val="-41"/>
      </w:rPr>
      <w:t xml:space="preserve"> </w:t>
    </w:r>
    <w:r>
      <w:rPr>
        <w:rFonts w:ascii="Times New Roman" w:hAnsi="Times New Roman" w:eastAsia="Times New Roman" w:cs="Times New Roman"/>
        <w:spacing w:val="-7"/>
      </w:rPr>
      <w:t>150</w:t>
    </w:r>
    <w:r>
      <w:rPr>
        <w:rFonts w:ascii="Times New Roman" w:hAnsi="Times New Roman" w:eastAsia="Times New Roman" w:cs="Times New Roman"/>
        <w:spacing w:val="15"/>
      </w:rPr>
      <w:t xml:space="preserve"> </w:t>
    </w:r>
    <w:r>
      <w:rPr>
        <w:spacing w:val="-7"/>
      </w:rPr>
      <w:t>分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昆明理工大学硕士研究生入学考试《高等数学》考试大纲</dc:title>
  <dc:creator>USER</dc:creator>
  <dcterms:created xsi:type="dcterms:W3CDTF">2022-09-27T10:16:00Z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2024-10-14T10:24:15</vt:filetime>
  </property>
</Properties>
</file>