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4A47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黑体" w:eastAsia="黑体"/>
          <w:b/>
          <w:sz w:val="32"/>
          <w:szCs w:val="32"/>
          <w:lang w:eastAsia="zh-CN"/>
        </w:rPr>
      </w:pPr>
      <w:r>
        <w:rPr>
          <w:rFonts w:hint="eastAsia" w:ascii="黑体" w:eastAsia="黑体"/>
          <w:b/>
          <w:sz w:val="32"/>
          <w:szCs w:val="32"/>
        </w:rPr>
        <w:t>武汉工程大学202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年硕士研究生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复试</w:t>
      </w:r>
    </w:p>
    <w:p w14:paraId="4D3EF8F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ascii="Tahoma" w:hAnsi="Tahoma" w:cs="Tahoma"/>
          <w:color w:val="333333"/>
          <w:kern w:val="0"/>
          <w:szCs w:val="21"/>
        </w:rPr>
      </w:pPr>
      <w:r>
        <w:rPr>
          <w:rFonts w:hint="eastAsia" w:ascii="黑体" w:eastAsia="黑体"/>
          <w:b/>
          <w:sz w:val="32"/>
          <w:szCs w:val="32"/>
        </w:rPr>
        <w:t>《</w:t>
      </w:r>
      <w:r>
        <w:rPr>
          <w:rFonts w:hint="eastAsia" w:ascii="黑体" w:eastAsia="黑体"/>
          <w:b/>
          <w:sz w:val="32"/>
          <w:szCs w:val="32"/>
          <w:lang w:eastAsia="zh-CN"/>
        </w:rPr>
        <w:t>金融专业综合</w:t>
      </w:r>
      <w:r>
        <w:rPr>
          <w:rFonts w:hint="eastAsia" w:ascii="黑体" w:eastAsia="黑体"/>
          <w:b/>
          <w:sz w:val="32"/>
          <w:szCs w:val="32"/>
        </w:rPr>
        <w:t>》考试大纲</w:t>
      </w:r>
    </w:p>
    <w:p w14:paraId="566D1E77">
      <w:pPr>
        <w:widowControl/>
        <w:wordWrap w:val="0"/>
        <w:spacing w:before="100" w:beforeAutospacing="1" w:after="100" w:afterAutospacing="1"/>
        <w:jc w:val="left"/>
        <w:rPr>
          <w:rFonts w:ascii="Tahoma" w:hAnsi="Tahoma" w:cs="Tahoma"/>
          <w:color w:val="333333"/>
          <w:kern w:val="0"/>
          <w:szCs w:val="21"/>
        </w:rPr>
      </w:pPr>
      <w:r>
        <w:rPr>
          <w:rFonts w:hint="eastAsia" w:ascii="Tahoma" w:hAnsi="Tahoma" w:cs="Tahoma"/>
          <w:color w:val="333333"/>
          <w:kern w:val="0"/>
          <w:szCs w:val="21"/>
        </w:rPr>
        <w:t>【考查目标】</w:t>
      </w:r>
      <w:r>
        <w:rPr>
          <w:rFonts w:ascii="Tahoma" w:hAnsi="Tahoma" w:cs="Tahoma"/>
          <w:color w:val="333333"/>
          <w:kern w:val="0"/>
          <w:szCs w:val="21"/>
        </w:rPr>
        <w:t xml:space="preserve"> </w:t>
      </w:r>
    </w:p>
    <w:p w14:paraId="2668FAF7">
      <w:pPr>
        <w:widowControl/>
        <w:wordWrap w:val="0"/>
        <w:spacing w:before="100" w:beforeAutospacing="1" w:after="100" w:afterAutospacing="1"/>
        <w:jc w:val="left"/>
        <w:rPr>
          <w:rFonts w:ascii="Tahoma" w:hAnsi="Tahoma" w:cs="Tahoma"/>
          <w:color w:val="333333"/>
          <w:kern w:val="0"/>
          <w:szCs w:val="21"/>
        </w:rPr>
      </w:pPr>
      <w:r>
        <w:rPr>
          <w:rFonts w:ascii="Tahoma" w:hAnsi="Tahoma" w:cs="Tahoma"/>
          <w:color w:val="333333"/>
          <w:kern w:val="0"/>
          <w:szCs w:val="21"/>
        </w:rPr>
        <w:t>1</w:t>
      </w:r>
      <w:r>
        <w:rPr>
          <w:rFonts w:hint="eastAsia" w:ascii="Tahoma" w:hAnsi="Tahoma" w:cs="Tahoma"/>
          <w:color w:val="333333"/>
          <w:kern w:val="0"/>
          <w:szCs w:val="21"/>
        </w:rPr>
        <w:t>．了解投资的基本原理、方法</w:t>
      </w:r>
      <w:r>
        <w:rPr>
          <w:rFonts w:hint="eastAsia" w:ascii="Tahoma" w:hAnsi="Tahoma" w:cs="Tahoma"/>
          <w:color w:val="333333"/>
          <w:kern w:val="0"/>
          <w:szCs w:val="21"/>
          <w:lang w:eastAsia="zh-CN"/>
        </w:rPr>
        <w:t>、</w:t>
      </w:r>
      <w:r>
        <w:rPr>
          <w:rFonts w:hint="eastAsia" w:ascii="Tahoma" w:hAnsi="Tahoma" w:cs="Tahoma"/>
          <w:color w:val="333333"/>
          <w:kern w:val="0"/>
          <w:szCs w:val="21"/>
        </w:rPr>
        <w:t>类型、投资与经济发展的关系、投资体制、投资结构，必要的风险控制方法；</w:t>
      </w:r>
      <w:r>
        <w:rPr>
          <w:rFonts w:hint="eastAsia" w:ascii="Tahoma" w:hAnsi="Tahoma" w:cs="Tahoma"/>
          <w:color w:val="333333"/>
          <w:kern w:val="0"/>
          <w:szCs w:val="21"/>
          <w:lang w:eastAsia="zh-CN"/>
        </w:rPr>
        <w:t>理解</w:t>
      </w:r>
      <w:r>
        <w:rPr>
          <w:rFonts w:hint="eastAsia" w:ascii="Tahoma" w:hAnsi="Tahoma" w:cs="Tahoma"/>
          <w:color w:val="333333"/>
          <w:kern w:val="0"/>
          <w:szCs w:val="21"/>
        </w:rPr>
        <w:t>证券、证券市场、与证券定价原理</w:t>
      </w:r>
      <w:r>
        <w:rPr>
          <w:rFonts w:hint="eastAsia" w:ascii="Tahoma" w:hAnsi="Tahoma" w:cs="Tahoma"/>
          <w:color w:val="333333"/>
          <w:kern w:val="0"/>
          <w:szCs w:val="21"/>
          <w:lang w:eastAsia="zh-CN"/>
        </w:rPr>
        <w:t>、</w:t>
      </w:r>
      <w:r>
        <w:rPr>
          <w:rFonts w:hint="eastAsia" w:ascii="Tahoma" w:hAnsi="Tahoma" w:cs="Tahoma"/>
          <w:color w:val="333333"/>
          <w:kern w:val="0"/>
          <w:szCs w:val="21"/>
        </w:rPr>
        <w:t>产业投资的市场分析、供给因素分析；掌握证券投资的组合管</w:t>
      </w:r>
      <w:r>
        <w:rPr>
          <w:rFonts w:hint="eastAsia" w:ascii="Tahoma" w:hAnsi="Tahoma" w:cs="Tahoma"/>
          <w:color w:val="333333"/>
          <w:kern w:val="0"/>
          <w:szCs w:val="21"/>
          <w:lang w:eastAsia="zh-CN"/>
        </w:rPr>
        <w:t>、</w:t>
      </w:r>
      <w:r>
        <w:rPr>
          <w:rFonts w:hint="eastAsia" w:ascii="Tahoma" w:hAnsi="Tahoma" w:cs="Tahoma"/>
          <w:color w:val="333333"/>
          <w:kern w:val="0"/>
          <w:szCs w:val="21"/>
        </w:rPr>
        <w:t>产业投资的效益分析</w:t>
      </w:r>
      <w:r>
        <w:rPr>
          <w:rFonts w:hint="eastAsia" w:ascii="Tahoma" w:hAnsi="Tahoma" w:cs="Tahoma"/>
          <w:color w:val="333333"/>
          <w:kern w:val="0"/>
          <w:szCs w:val="21"/>
          <w:lang w:eastAsia="zh-CN"/>
        </w:rPr>
        <w:t>、</w:t>
      </w:r>
      <w:r>
        <w:rPr>
          <w:rFonts w:hint="eastAsia" w:ascii="Tahoma" w:hAnsi="Tahoma" w:cs="Tahoma"/>
          <w:color w:val="333333"/>
          <w:kern w:val="0"/>
          <w:szCs w:val="21"/>
        </w:rPr>
        <w:t>投资结构周期规律</w:t>
      </w:r>
    </w:p>
    <w:p w14:paraId="1710FCE1">
      <w:pPr>
        <w:rPr>
          <w:rFonts w:hint="eastAsia" w:ascii="Tahoma" w:hAnsi="Tahoma" w:cs="Tahoma"/>
          <w:color w:val="333333"/>
          <w:kern w:val="0"/>
          <w:szCs w:val="21"/>
          <w:lang w:eastAsia="zh-CN"/>
        </w:rPr>
      </w:pPr>
      <w:r>
        <w:rPr>
          <w:rFonts w:ascii="Tahoma" w:hAnsi="Tahoma" w:cs="Tahoma"/>
          <w:color w:val="333333"/>
          <w:kern w:val="0"/>
          <w:szCs w:val="21"/>
        </w:rPr>
        <w:t>2</w:t>
      </w:r>
      <w:r>
        <w:rPr>
          <w:rFonts w:hint="eastAsia" w:ascii="Tahoma" w:hAnsi="Tahoma" w:cs="Tahoma"/>
          <w:color w:val="333333"/>
          <w:kern w:val="0"/>
          <w:szCs w:val="21"/>
        </w:rPr>
        <w:t>．了解有关国际收支、汇率、国际资本流动及金融危机的经典理论，理解国际货币体系和国际金融组织的沿革和现状，</w:t>
      </w:r>
      <w:r>
        <w:rPr>
          <w:rFonts w:hint="eastAsia" w:ascii="Tahoma" w:hAnsi="Tahoma" w:cs="Tahoma"/>
          <w:color w:val="333333"/>
          <w:kern w:val="0"/>
          <w:szCs w:val="21"/>
          <w:lang w:eastAsia="zh-CN"/>
        </w:rPr>
        <w:t>理解</w:t>
      </w:r>
      <w:r>
        <w:rPr>
          <w:rFonts w:hint="eastAsia" w:ascii="Tahoma" w:hAnsi="Tahoma" w:cs="Tahoma"/>
          <w:color w:val="333333"/>
          <w:kern w:val="0"/>
          <w:szCs w:val="21"/>
        </w:rPr>
        <w:t>外汇市场交易、外汇风险管理和国际融资的基本原理和方法，掌握有关国际储备、国际金融市场、汇率制度的研究动态和重要结论。</w:t>
      </w:r>
    </w:p>
    <w:p w14:paraId="5C779045">
      <w:pPr>
        <w:widowControl/>
        <w:wordWrap w:val="0"/>
        <w:spacing w:before="100" w:beforeAutospacing="1" w:after="100" w:afterAutospacing="1"/>
        <w:jc w:val="left"/>
        <w:rPr>
          <w:rFonts w:hint="eastAsia" w:ascii="Tahoma" w:hAnsi="Tahoma" w:eastAsia="宋体" w:cs="Tahoma"/>
          <w:color w:val="333333"/>
          <w:kern w:val="0"/>
          <w:szCs w:val="21"/>
          <w:lang w:eastAsia="zh-CN"/>
        </w:rPr>
      </w:pPr>
      <w:r>
        <w:rPr>
          <w:rFonts w:hint="eastAsia" w:ascii="Tahoma" w:hAnsi="Tahoma" w:cs="Tahoma"/>
          <w:color w:val="333333"/>
          <w:kern w:val="0"/>
          <w:szCs w:val="21"/>
          <w:lang w:val="en-US" w:eastAsia="zh-CN"/>
        </w:rPr>
        <w:t>3</w:t>
      </w:r>
      <w:r>
        <w:rPr>
          <w:rFonts w:hint="eastAsia" w:ascii="Tahoma" w:hAnsi="Tahoma" w:cs="Tahoma"/>
          <w:color w:val="333333"/>
          <w:kern w:val="0"/>
          <w:szCs w:val="21"/>
        </w:rPr>
        <w:t>．</w:t>
      </w:r>
      <w:r>
        <w:rPr>
          <w:rFonts w:hint="eastAsia" w:ascii="Tahoma" w:hAnsi="Tahoma" w:cs="Tahoma"/>
          <w:color w:val="333333"/>
          <w:kern w:val="0"/>
          <w:szCs w:val="21"/>
          <w:lang w:eastAsia="zh-CN"/>
        </w:rPr>
        <w:t>具备</w:t>
      </w:r>
      <w:r>
        <w:rPr>
          <w:rFonts w:hint="eastAsia" w:ascii="Tahoma" w:hAnsi="Tahoma" w:cs="Tahoma"/>
          <w:color w:val="333333"/>
          <w:kern w:val="0"/>
          <w:szCs w:val="21"/>
        </w:rPr>
        <w:t>应用</w:t>
      </w:r>
      <w:r>
        <w:rPr>
          <w:rFonts w:hint="eastAsia" w:ascii="Tahoma" w:hAnsi="Tahoma" w:cs="Tahoma"/>
          <w:color w:val="333333"/>
          <w:kern w:val="0"/>
          <w:szCs w:val="21"/>
          <w:lang w:eastAsia="zh-CN"/>
        </w:rPr>
        <w:t>金融专业</w:t>
      </w:r>
      <w:r>
        <w:rPr>
          <w:rFonts w:hint="eastAsia" w:ascii="Tahoma" w:hAnsi="Tahoma" w:cs="Tahoma"/>
          <w:color w:val="333333"/>
          <w:kern w:val="0"/>
          <w:szCs w:val="21"/>
        </w:rPr>
        <w:t>理论与方法分析、解决问题</w:t>
      </w:r>
      <w:r>
        <w:rPr>
          <w:rFonts w:hint="eastAsia" w:ascii="Tahoma" w:hAnsi="Tahoma" w:cs="Tahoma"/>
          <w:color w:val="333333"/>
          <w:kern w:val="0"/>
          <w:szCs w:val="21"/>
          <w:lang w:eastAsia="zh-CN"/>
        </w:rPr>
        <w:t>的能力。</w:t>
      </w:r>
    </w:p>
    <w:p w14:paraId="60296A90">
      <w:pPr>
        <w:widowControl/>
        <w:wordWrap w:val="0"/>
        <w:spacing w:before="100" w:beforeAutospacing="1" w:after="100" w:afterAutospacing="1"/>
        <w:jc w:val="left"/>
        <w:rPr>
          <w:rFonts w:ascii="Tahoma" w:hAnsi="Tahoma" w:cs="Tahoma"/>
          <w:color w:val="333333"/>
          <w:kern w:val="0"/>
          <w:szCs w:val="21"/>
        </w:rPr>
      </w:pPr>
      <w:r>
        <w:rPr>
          <w:rFonts w:hint="eastAsia" w:ascii="Tahoma" w:hAnsi="Tahoma" w:cs="Tahoma"/>
          <w:color w:val="333333"/>
          <w:kern w:val="0"/>
          <w:szCs w:val="21"/>
        </w:rPr>
        <w:t>【</w:t>
      </w:r>
      <w:r>
        <w:rPr>
          <w:rFonts w:hint="eastAsia" w:ascii="Tahoma" w:hAnsi="Tahoma" w:cs="Tahoma"/>
          <w:color w:val="333333"/>
          <w:kern w:val="0"/>
          <w:szCs w:val="21"/>
          <w:lang w:eastAsia="zh-CN"/>
        </w:rPr>
        <w:t>参考书目</w:t>
      </w:r>
      <w:r>
        <w:rPr>
          <w:rFonts w:hint="eastAsia" w:ascii="Tahoma" w:hAnsi="Tahoma" w:cs="Tahoma"/>
          <w:color w:val="333333"/>
          <w:kern w:val="0"/>
          <w:szCs w:val="21"/>
        </w:rPr>
        <w:t>】</w:t>
      </w:r>
      <w:r>
        <w:rPr>
          <w:rFonts w:ascii="Tahoma" w:hAnsi="Tahoma" w:cs="Tahoma"/>
          <w:color w:val="333333"/>
          <w:kern w:val="0"/>
          <w:szCs w:val="21"/>
        </w:rPr>
        <w:t xml:space="preserve"> </w:t>
      </w:r>
    </w:p>
    <w:p w14:paraId="00AA0410">
      <w:pPr>
        <w:rPr>
          <w:rFonts w:hint="default" w:ascii="Tahoma" w:hAnsi="Tahoma" w:cs="Tahoma"/>
          <w:color w:val="333333"/>
          <w:kern w:val="0"/>
          <w:szCs w:val="21"/>
          <w:lang w:val="en-US" w:eastAsia="zh-CN"/>
        </w:rPr>
      </w:pPr>
      <w:r>
        <w:rPr>
          <w:rFonts w:hint="eastAsia" w:ascii="Tahoma" w:hAnsi="Tahoma" w:cs="Tahoma"/>
          <w:color w:val="333333"/>
          <w:kern w:val="0"/>
          <w:szCs w:val="21"/>
          <w:lang w:val="en-US" w:eastAsia="zh-CN"/>
        </w:rPr>
        <w:t>1、</w:t>
      </w:r>
      <w:r>
        <w:rPr>
          <w:rFonts w:hint="eastAsia" w:ascii="Tahoma" w:hAnsi="Tahoma" w:cs="Tahoma"/>
          <w:color w:val="333333"/>
          <w:kern w:val="0"/>
          <w:szCs w:val="21"/>
          <w:lang w:eastAsia="zh-CN"/>
        </w:rPr>
        <w:t>滋维·博迪等著，《投资学》（原书第</w:t>
      </w:r>
      <w:r>
        <w:rPr>
          <w:rFonts w:hint="eastAsia" w:ascii="Tahoma" w:hAnsi="Tahoma" w:cs="Tahoma"/>
          <w:color w:val="333333"/>
          <w:kern w:val="0"/>
          <w:szCs w:val="21"/>
          <w:lang w:val="en-US" w:eastAsia="zh-CN"/>
        </w:rPr>
        <w:t>10版</w:t>
      </w:r>
      <w:r>
        <w:rPr>
          <w:rFonts w:hint="eastAsia" w:ascii="Tahoma" w:hAnsi="Tahoma" w:cs="Tahoma"/>
          <w:color w:val="333333"/>
          <w:kern w:val="0"/>
          <w:szCs w:val="21"/>
          <w:lang w:eastAsia="zh-CN"/>
        </w:rPr>
        <w:t>），机械工业出版社，</w:t>
      </w:r>
      <w:r>
        <w:rPr>
          <w:rFonts w:hint="eastAsia" w:ascii="Tahoma" w:hAnsi="Tahoma" w:cs="Tahoma"/>
          <w:color w:val="333333"/>
          <w:kern w:val="0"/>
          <w:szCs w:val="21"/>
          <w:lang w:val="en-US" w:eastAsia="zh-CN"/>
        </w:rPr>
        <w:t>2015年。</w:t>
      </w:r>
    </w:p>
    <w:p w14:paraId="6B0BEB7C">
      <w:pPr>
        <w:rPr>
          <w:rFonts w:hint="default" w:ascii="Tahoma" w:hAnsi="Tahoma" w:cs="Tahoma"/>
          <w:color w:val="333333"/>
          <w:kern w:val="0"/>
          <w:szCs w:val="21"/>
          <w:lang w:val="en-US" w:eastAsia="zh-CN"/>
        </w:rPr>
      </w:pPr>
      <w:r>
        <w:rPr>
          <w:rFonts w:hint="eastAsia" w:ascii="Tahoma" w:hAnsi="Tahoma" w:cs="Tahoma"/>
          <w:color w:val="333333"/>
          <w:kern w:val="0"/>
          <w:szCs w:val="21"/>
          <w:lang w:val="en-US" w:eastAsia="zh-CN"/>
        </w:rPr>
        <w:t>2、</w:t>
      </w:r>
      <w:r>
        <w:rPr>
          <w:rFonts w:hint="eastAsia" w:ascii="Tahoma" w:hAnsi="Tahoma" w:cs="Tahoma"/>
          <w:color w:val="333333"/>
          <w:kern w:val="0"/>
          <w:szCs w:val="21"/>
          <w:lang w:eastAsia="zh-CN"/>
        </w:rPr>
        <w:t>姜波克编著，《国际金融新编》（第六版），复旦大学出版社，</w:t>
      </w:r>
      <w:r>
        <w:rPr>
          <w:rFonts w:hint="eastAsia" w:ascii="Tahoma" w:hAnsi="Tahoma" w:cs="Tahoma"/>
          <w:color w:val="333333"/>
          <w:kern w:val="0"/>
          <w:szCs w:val="21"/>
          <w:lang w:val="en-US" w:eastAsia="zh-CN"/>
        </w:rPr>
        <w:t>2018年。</w:t>
      </w:r>
    </w:p>
    <w:p w14:paraId="1D15329D">
      <w:pPr>
        <w:rPr>
          <w:rFonts w:hint="eastAsia" w:ascii="Tahoma" w:hAnsi="Tahoma" w:cs="Tahoma"/>
          <w:color w:val="333333"/>
          <w:kern w:val="0"/>
          <w:szCs w:val="21"/>
          <w:lang w:eastAsia="zh-CN"/>
        </w:rPr>
      </w:pPr>
    </w:p>
    <w:p w14:paraId="63D5CE75">
      <w:pPr>
        <w:widowControl/>
        <w:wordWrap w:val="0"/>
        <w:spacing w:before="100" w:beforeAutospacing="1" w:after="100" w:afterAutospacing="1"/>
        <w:jc w:val="left"/>
        <w:rPr>
          <w:rFonts w:ascii="Tahoma" w:hAnsi="Tahoma" w:cs="Tahoma"/>
          <w:color w:val="333333"/>
          <w:kern w:val="0"/>
          <w:szCs w:val="21"/>
        </w:rPr>
      </w:pPr>
      <w:r>
        <w:rPr>
          <w:rFonts w:hint="eastAsia" w:ascii="Tahoma" w:hAnsi="Tahoma" w:cs="Tahoma"/>
          <w:color w:val="333333"/>
          <w:kern w:val="0"/>
          <w:szCs w:val="21"/>
        </w:rPr>
        <w:t>【</w:t>
      </w:r>
      <w:r>
        <w:rPr>
          <w:rFonts w:hint="eastAsia" w:ascii="Tahoma" w:hAnsi="Tahoma" w:cs="Tahoma"/>
          <w:color w:val="333333"/>
          <w:kern w:val="0"/>
          <w:szCs w:val="21"/>
          <w:lang w:eastAsia="zh-CN"/>
        </w:rPr>
        <w:t>考试内容</w:t>
      </w:r>
      <w:r>
        <w:rPr>
          <w:rFonts w:hint="eastAsia" w:ascii="Tahoma" w:hAnsi="Tahoma" w:cs="Tahoma"/>
          <w:color w:val="333333"/>
          <w:kern w:val="0"/>
          <w:szCs w:val="21"/>
        </w:rPr>
        <w:t>】</w:t>
      </w:r>
      <w:r>
        <w:rPr>
          <w:rFonts w:ascii="Tahoma" w:hAnsi="Tahoma" w:cs="Tahoma"/>
          <w:color w:val="333333"/>
          <w:kern w:val="0"/>
          <w:szCs w:val="21"/>
        </w:rPr>
        <w:t xml:space="preserve"> </w:t>
      </w:r>
    </w:p>
    <w:p w14:paraId="2D0D9EE3">
      <w:pPr>
        <w:numPr>
          <w:ilvl w:val="0"/>
          <w:numId w:val="0"/>
        </w:numPr>
        <w:rPr>
          <w:rFonts w:hint="eastAsia" w:ascii="Tahoma" w:hAnsi="Tahoma" w:cs="Tahoma"/>
          <w:b/>
          <w:bCs/>
          <w:color w:val="333333"/>
          <w:kern w:val="0"/>
          <w:szCs w:val="21"/>
          <w:lang w:eastAsia="zh-CN"/>
        </w:rPr>
      </w:pPr>
      <w:r>
        <w:rPr>
          <w:rFonts w:hint="eastAsia" w:ascii="Tahoma" w:hAnsi="Tahoma" w:cs="Tahoma"/>
          <w:b/>
          <w:bCs/>
          <w:color w:val="333333"/>
          <w:kern w:val="0"/>
          <w:szCs w:val="21"/>
          <w:lang w:eastAsia="zh-CN"/>
        </w:rPr>
        <w:t>一、投资学</w:t>
      </w:r>
    </w:p>
    <w:p w14:paraId="5C71BCFD">
      <w:pPr>
        <w:widowControl w:val="0"/>
        <w:numPr>
          <w:ilvl w:val="0"/>
          <w:numId w:val="0"/>
        </w:numPr>
        <w:jc w:val="both"/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</w:pPr>
    </w:p>
    <w:p w14:paraId="578EFF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</w:pP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  <w:t>（一）金融工具与金融市场</w:t>
      </w:r>
    </w:p>
    <w:p w14:paraId="7CD367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</w:pP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  <w:t>1、</w:t>
      </w: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  <w:t>货币市场</w:t>
      </w:r>
    </w:p>
    <w:p w14:paraId="6BE518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</w:pP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  <w:t>2、</w:t>
      </w: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  <w:t>债券市场</w:t>
      </w:r>
    </w:p>
    <w:p w14:paraId="410CA0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</w:pP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  <w:t>3、</w:t>
      </w: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  <w:t>权益市场</w:t>
      </w:r>
    </w:p>
    <w:p w14:paraId="507AD6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</w:pP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  <w:t>4、</w:t>
      </w: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  <w:t>股票市场指数</w:t>
      </w:r>
    </w:p>
    <w:p w14:paraId="790859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</w:pP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  <w:t>5、</w:t>
      </w: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  <w:t>衍生工具市场</w:t>
      </w:r>
    </w:p>
    <w:p w14:paraId="545CC7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</w:pP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  <w:t>6、</w:t>
      </w: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  <w:t>投资基金</w:t>
      </w:r>
    </w:p>
    <w:p w14:paraId="4D35AC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</w:pP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  <w:t>（二）资产组合理论</w:t>
      </w:r>
    </w:p>
    <w:p w14:paraId="541A34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</w:pP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  <w:t>1、</w:t>
      </w: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  <w:t>风险与收益基本知识</w:t>
      </w:r>
    </w:p>
    <w:p w14:paraId="635EF9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</w:pP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  <w:t>2、</w:t>
      </w: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  <w:t>风险厌恶与风险资产配置</w:t>
      </w:r>
    </w:p>
    <w:p w14:paraId="0859E3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</w:pP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  <w:t>3、</w:t>
      </w: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  <w:t>分散化与组合风险</w:t>
      </w:r>
    </w:p>
    <w:p w14:paraId="2D0BA5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</w:pP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  <w:t>4、</w:t>
      </w: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  <w:t>最优风险资产组合</w:t>
      </w:r>
    </w:p>
    <w:p w14:paraId="05EC0D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</w:pP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  <w:t>5、</w:t>
      </w: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  <w:t>马科维茨资产组合理论</w:t>
      </w:r>
    </w:p>
    <w:p w14:paraId="77790D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</w:pP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  <w:t>6、</w:t>
      </w: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  <w:t>指数模型</w:t>
      </w:r>
    </w:p>
    <w:p w14:paraId="011C48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</w:pP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  <w:t>（三） 资本市场均衡</w:t>
      </w:r>
    </w:p>
    <w:p w14:paraId="535976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</w:pP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  <w:t>1、</w:t>
      </w: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  <w:t>资本资产定价模型</w:t>
      </w:r>
    </w:p>
    <w:p w14:paraId="5FD227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</w:pP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  <w:t>2、</w:t>
      </w: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  <w:t>套利定价理论与风险收益多因素模型</w:t>
      </w:r>
    </w:p>
    <w:p w14:paraId="068BEF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</w:pP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  <w:t>3、</w:t>
      </w: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  <w:t>有效市场假说；</w:t>
      </w:r>
    </w:p>
    <w:p w14:paraId="606852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</w:pP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  <w:t>（四）固定收益证券</w:t>
      </w:r>
    </w:p>
    <w:p w14:paraId="356166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</w:pP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  <w:t>1、</w:t>
      </w: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  <w:t>债券的价格与收益</w:t>
      </w:r>
    </w:p>
    <w:p w14:paraId="543168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</w:pP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  <w:t>2、</w:t>
      </w: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  <w:t>利率的期限结构</w:t>
      </w:r>
    </w:p>
    <w:p w14:paraId="6E7552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</w:pP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  <w:t>3、</w:t>
      </w: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  <w:t>债券资产组合管理</w:t>
      </w:r>
    </w:p>
    <w:p w14:paraId="129620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</w:pP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  <w:t>（五）证券投资分析</w:t>
      </w:r>
    </w:p>
    <w:p w14:paraId="53B850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</w:pP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  <w:t>1、</w:t>
      </w: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  <w:t>宏观经济分析与行业分析</w:t>
      </w:r>
    </w:p>
    <w:p w14:paraId="76A1C3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</w:pP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  <w:t>2、</w:t>
      </w: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  <w:t>权益估值模型</w:t>
      </w:r>
    </w:p>
    <w:p w14:paraId="61BC82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</w:pP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  <w:t>3、</w:t>
      </w: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  <w:t>财务报表分析</w:t>
      </w:r>
    </w:p>
    <w:p w14:paraId="1E631F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</w:pP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  <w:t>（六） 期权、期货与其他衍生证券</w:t>
      </w:r>
    </w:p>
    <w:p w14:paraId="53E6C2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</w:pP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  <w:t>1、</w:t>
      </w: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  <w:t>期权市场</w:t>
      </w:r>
    </w:p>
    <w:p w14:paraId="065D57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</w:pP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  <w:t>2、</w:t>
      </w: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  <w:t>期权价格性质</w:t>
      </w:r>
    </w:p>
    <w:p w14:paraId="7DA769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</w:pP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  <w:t>3、</w:t>
      </w: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  <w:t>期货市场</w:t>
      </w:r>
    </w:p>
    <w:p w14:paraId="024B8A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</w:pP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  <w:t>4、</w:t>
      </w: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  <w:t>期货定价基本原理</w:t>
      </w:r>
    </w:p>
    <w:p w14:paraId="0A3E54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</w:pPr>
    </w:p>
    <w:p w14:paraId="397CE2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ahoma" w:hAnsi="Tahoma" w:cs="Tahoma"/>
          <w:b/>
          <w:bCs/>
          <w:color w:val="333333"/>
          <w:kern w:val="0"/>
          <w:szCs w:val="21"/>
          <w:lang w:val="en-US" w:eastAsia="zh-CN"/>
        </w:rPr>
      </w:pPr>
      <w:r>
        <w:rPr>
          <w:rFonts w:hint="eastAsia" w:ascii="Tahoma" w:hAnsi="Tahoma" w:cs="Tahoma"/>
          <w:b/>
          <w:bCs/>
          <w:color w:val="333333"/>
          <w:kern w:val="0"/>
          <w:szCs w:val="21"/>
          <w:lang w:val="en-US" w:eastAsia="zh-CN"/>
        </w:rPr>
        <w:t>二、国际金融学</w:t>
      </w:r>
    </w:p>
    <w:p w14:paraId="4C8AC9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</w:pP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  <w:t>（一）国际收支与国际收支平衡表</w:t>
      </w:r>
    </w:p>
    <w:p w14:paraId="6C56BC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</w:pP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  <w:t>1、国际收支及国际收支平衡表</w:t>
      </w:r>
    </w:p>
    <w:p w14:paraId="44AD67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</w:pP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  <w:t>2、国际收支失衡及其调节</w:t>
      </w:r>
    </w:p>
    <w:p w14:paraId="18072F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</w:pP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  <w:t>（二）外汇与汇率</w:t>
      </w:r>
    </w:p>
    <w:p w14:paraId="3ACB0C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</w:pP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  <w:t>1、国际金融市场</w:t>
      </w:r>
    </w:p>
    <w:p w14:paraId="4EE5F4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</w:pP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  <w:t>2、汇率与汇率制度</w:t>
      </w:r>
    </w:p>
    <w:p w14:paraId="4735B6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</w:pP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  <w:t>（三）汇率理论</w:t>
      </w:r>
    </w:p>
    <w:p w14:paraId="004A57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</w:pP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  <w:t>1、汇率水平决定理论</w:t>
      </w:r>
    </w:p>
    <w:p w14:paraId="50C3E0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</w:pP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  <w:t>2、汇率制度选择理论</w:t>
      </w:r>
    </w:p>
    <w:p w14:paraId="17528F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</w:pP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  <w:t>（四）国际收支内外部均衡</w:t>
      </w:r>
    </w:p>
    <w:p w14:paraId="58CA1B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</w:pP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  <w:t>1、内外部均衡的冲突</w:t>
      </w:r>
    </w:p>
    <w:p w14:paraId="0F7594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</w:pP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  <w:t>2、内外部均衡冲突的调节原则</w:t>
      </w:r>
    </w:p>
    <w:p w14:paraId="3DA044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</w:pP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  <w:t>3、内外部均衡调节的经典理论</w:t>
      </w:r>
    </w:p>
    <w:p w14:paraId="5CF410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</w:pP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  <w:t>4、开放经济下的政策搭配理论</w:t>
      </w:r>
    </w:p>
    <w:p w14:paraId="730ADE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</w:pP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  <w:t>（五）外汇管理</w:t>
      </w:r>
    </w:p>
    <w:p w14:paraId="51AA3B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</w:pP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  <w:t>1、外汇直接管制</w:t>
      </w:r>
    </w:p>
    <w:p w14:paraId="6398D3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</w:pP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  <w:t>2、汇率制度选择</w:t>
      </w:r>
    </w:p>
    <w:p w14:paraId="51AF5E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</w:pP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  <w:t>3、外汇储备管理</w:t>
      </w:r>
    </w:p>
    <w:p w14:paraId="05BE15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</w:pP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  <w:t>4、外汇市场干预</w:t>
      </w:r>
    </w:p>
    <w:p w14:paraId="4DF3C8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</w:pP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  <w:t>（六）国际资本流动与金融危机</w:t>
      </w:r>
    </w:p>
    <w:p w14:paraId="018851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</w:pP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  <w:t>1、国际资本流动</w:t>
      </w:r>
    </w:p>
    <w:p w14:paraId="15AED2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</w:pP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  <w:t>2、债务危机、银行危机、货币危机以及次贷危机</w:t>
      </w:r>
    </w:p>
    <w:p w14:paraId="1C8939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</w:pP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  <w:t>（七）国际金融协调与合作</w:t>
      </w:r>
    </w:p>
    <w:p w14:paraId="171889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</w:pP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  <w:t>1、国际货币协调的理论</w:t>
      </w:r>
    </w:p>
    <w:p w14:paraId="53F9AE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</w:pP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  <w:t>2、国际货币协调的主要问题及制度安排</w:t>
      </w:r>
    </w:p>
    <w:p w14:paraId="11FD87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</w:pP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val="en-US" w:eastAsia="zh-CN"/>
        </w:rPr>
        <w:t>3、区域货币协调的理论与实践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ZGQ4N2ZjYzA2NzNmN2I0MjVlNDAwOGZjNDc4NDAifQ=="/>
  </w:docVars>
  <w:rsids>
    <w:rsidRoot w:val="7B643D75"/>
    <w:rsid w:val="18BD76A7"/>
    <w:rsid w:val="21460AE9"/>
    <w:rsid w:val="3277271C"/>
    <w:rsid w:val="3D65019D"/>
    <w:rsid w:val="43BA7381"/>
    <w:rsid w:val="48C73A5C"/>
    <w:rsid w:val="59240618"/>
    <w:rsid w:val="6D535020"/>
    <w:rsid w:val="7B643D75"/>
    <w:rsid w:val="7E4F5A7D"/>
    <w:rsid w:val="7EDA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961</Words>
  <Characters>971</Characters>
  <Lines>0</Lines>
  <Paragraphs>0</Paragraphs>
  <TotalTime>0</TotalTime>
  <ScaleCrop>false</ScaleCrop>
  <LinksUpToDate>false</LinksUpToDate>
  <CharactersWithSpaces>976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2018-07-03T08:43:00Z</dcterms:created>
  <dc:creator>新天方夜谈</dc:creator>
  <cp:lastModifiedBy>朱冬冬</cp:lastModifiedBy>
  <dcterms:modified xsi:type="dcterms:W3CDTF">2024-09-28T02:41:56Z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AE5ED79338A04C3C8418AB8CF4DE4372_12</vt:lpwstr>
  </property>
</Properties>
</file>