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6491F">
      <w:pPr>
        <w:tabs>
          <w:tab w:val="center" w:pos="1620"/>
          <w:tab w:val="right" w:pos="3240"/>
        </w:tabs>
        <w:jc w:val="center"/>
        <w:rPr>
          <w:rFonts w:hint="eastAsia" w:ascii="黑体" w:eastAsia="黑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</w:rPr>
        <w:drawing>
          <wp:inline distT="0" distB="0" distL="114300" distR="114300">
            <wp:extent cx="1734185" cy="361950"/>
            <wp:effectExtent l="0" t="0" r="184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A409C">
      <w:pPr>
        <w:spacing w:line="50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硕士研究生招生考试（初试）业务课考试大纲</w:t>
      </w:r>
    </w:p>
    <w:p w14:paraId="50D4A750">
      <w:pPr>
        <w:spacing w:line="500" w:lineRule="exact"/>
        <w:ind w:right="-386" w:rightChars="-184" w:firstLine="280" w:firstLineChars="100"/>
        <w:rPr>
          <w:rFonts w:hint="eastAsia" w:eastAsia="楷体_GB2312"/>
          <w:b/>
          <w:bCs/>
          <w:sz w:val="28"/>
        </w:rPr>
      </w:pP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b/>
          <w:bCs/>
          <w:sz w:val="28"/>
          <w:szCs w:val="28"/>
          <w:u w:val="single"/>
        </w:rPr>
        <w:t xml:space="preserve">考试科目：细胞生物学              科目代码：622         </w:t>
      </w:r>
    </w:p>
    <w:p w14:paraId="493B9F54">
      <w:pPr>
        <w:numPr>
          <w:ilvl w:val="0"/>
          <w:numId w:val="1"/>
        </w:num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参考书目（所列参考书目仅供参考，非考试科目指定用书）： </w:t>
      </w:r>
    </w:p>
    <w:p w14:paraId="44D9E20A">
      <w:pPr>
        <w:ind w:left="72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《细胞生物学》（第四版），翟中和，王喜忠，丁明孝主编，高等教育出版社,2011</w:t>
      </w:r>
    </w:p>
    <w:p w14:paraId="565B7E45">
      <w:pPr>
        <w:numPr>
          <w:ilvl w:val="0"/>
          <w:numId w:val="1"/>
        </w:num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考试形式</w:t>
      </w:r>
    </w:p>
    <w:p w14:paraId="7B18A536">
      <w:pPr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试卷满分：     </w:t>
      </w:r>
      <w:r>
        <w:rPr>
          <w:rFonts w:ascii="仿宋_GB2312" w:eastAsia="仿宋_GB2312"/>
          <w:sz w:val="24"/>
        </w:rPr>
        <w:t>150</w:t>
      </w:r>
      <w:r>
        <w:rPr>
          <w:rFonts w:hint="eastAsia" w:ascii="仿宋_GB2312" w:eastAsia="仿宋_GB2312"/>
          <w:sz w:val="24"/>
        </w:rPr>
        <w:t xml:space="preserve">              考试时间： </w:t>
      </w:r>
      <w:r>
        <w:rPr>
          <w:rFonts w:ascii="仿宋_GB2312" w:eastAsia="仿宋_GB2312"/>
          <w:sz w:val="24"/>
        </w:rPr>
        <w:t>180</w:t>
      </w:r>
      <w:r>
        <w:rPr>
          <w:rFonts w:hint="eastAsia" w:ascii="仿宋_GB2312" w:eastAsia="仿宋_GB2312"/>
          <w:sz w:val="24"/>
        </w:rPr>
        <w:t xml:space="preserve">  分钟</w:t>
      </w:r>
    </w:p>
    <w:p w14:paraId="30B5AABD">
      <w:pPr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答题方式：闭卷、笔试</w:t>
      </w:r>
    </w:p>
    <w:p w14:paraId="7A37331E">
      <w:pPr>
        <w:numPr>
          <w:ilvl w:val="0"/>
          <w:numId w:val="1"/>
        </w:numPr>
        <w:rPr>
          <w:b/>
          <w:sz w:val="24"/>
        </w:rPr>
      </w:pPr>
      <w:r>
        <w:rPr>
          <w:rFonts w:hint="eastAsia"/>
          <w:b/>
          <w:sz w:val="24"/>
        </w:rPr>
        <w:t>考查范围：</w:t>
      </w:r>
    </w:p>
    <w:p w14:paraId="0F867EA4">
      <w:pPr>
        <w:ind w:firstLine="723" w:firstLineChars="300"/>
        <w:rPr>
          <w:rFonts w:hint="eastAsia" w:ascii="仿宋_GB2312" w:hAnsi="Times New Roman" w:eastAsia="仿宋_GB2312" w:cs="Times New Roman"/>
          <w:b/>
          <w:bCs/>
          <w:sz w:val="24"/>
        </w:rPr>
      </w:pPr>
      <w:r>
        <w:rPr>
          <w:rFonts w:hint="eastAsia" w:ascii="仿宋_GB2312" w:hAnsi="Times New Roman" w:eastAsia="仿宋_GB2312" w:cs="Times New Roman"/>
          <w:b/>
          <w:bCs/>
          <w:sz w:val="24"/>
        </w:rPr>
        <w:t>一、绪论</w:t>
      </w:r>
    </w:p>
    <w:p w14:paraId="474AE032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1．细胞生物学的主要研究内容</w:t>
      </w:r>
    </w:p>
    <w:p w14:paraId="512FD9A1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2．细胞学说的创立及其内容要点和意义</w:t>
      </w:r>
    </w:p>
    <w:p w14:paraId="4B46A6F3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3．当前细胞生物学研究的总趋势与重点领域</w:t>
      </w:r>
    </w:p>
    <w:p w14:paraId="3993EF3D">
      <w:pPr>
        <w:ind w:firstLine="723" w:firstLineChars="300"/>
        <w:rPr>
          <w:rFonts w:hint="eastAsia" w:ascii="仿宋_GB2312" w:hAnsi="Times New Roman" w:eastAsia="仿宋_GB2312" w:cs="Times New Roman"/>
          <w:b/>
          <w:bCs/>
          <w:sz w:val="24"/>
        </w:rPr>
      </w:pPr>
      <w:r>
        <w:rPr>
          <w:rFonts w:hint="eastAsia" w:ascii="仿宋_GB2312" w:hAnsi="Times New Roman" w:eastAsia="仿宋_GB2312" w:cs="Times New Roman"/>
          <w:b/>
          <w:bCs/>
          <w:sz w:val="24"/>
        </w:rPr>
        <w:t>二、细胞的统一性与多样性</w:t>
      </w:r>
    </w:p>
    <w:p w14:paraId="0C53EAF8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细胞的基本概念、原核细胞与古核细胞、真核细胞以及非细胞生命体的基本知识概要。</w:t>
      </w:r>
    </w:p>
    <w:p w14:paraId="1C00EB13">
      <w:pPr>
        <w:ind w:firstLine="723" w:firstLineChars="300"/>
        <w:rPr>
          <w:rFonts w:hint="eastAsia" w:ascii="仿宋_GB2312" w:hAnsi="Times New Roman" w:eastAsia="仿宋_GB2312" w:cs="Times New Roman"/>
          <w:b/>
          <w:bCs/>
          <w:sz w:val="24"/>
        </w:rPr>
      </w:pPr>
      <w:r>
        <w:rPr>
          <w:rFonts w:hint="eastAsia" w:ascii="仿宋_GB2312" w:hAnsi="Times New Roman" w:eastAsia="仿宋_GB2312" w:cs="Times New Roman"/>
          <w:b/>
          <w:bCs/>
          <w:sz w:val="24"/>
        </w:rPr>
        <w:t>三、细胞生物学研究方法</w:t>
      </w:r>
    </w:p>
    <w:p w14:paraId="4FBB3E01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1．细胞形态结构的观察方法和相关仪器的原理和应用范围</w:t>
      </w:r>
    </w:p>
    <w:p w14:paraId="1D9B285D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2．细胞化学组成及其定位和动态分析技术的原理和应用范围</w:t>
      </w:r>
    </w:p>
    <w:p w14:paraId="191E688F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3．动物细胞培养的相关概念和原理</w:t>
      </w:r>
    </w:p>
    <w:p w14:paraId="5B11510E">
      <w:pPr>
        <w:ind w:firstLine="723" w:firstLineChars="300"/>
        <w:rPr>
          <w:rFonts w:hint="eastAsia" w:ascii="仿宋_GB2312" w:hAnsi="Times New Roman" w:eastAsia="仿宋_GB2312" w:cs="Times New Roman"/>
          <w:b/>
          <w:bCs/>
          <w:sz w:val="24"/>
        </w:rPr>
      </w:pPr>
      <w:r>
        <w:rPr>
          <w:rFonts w:hint="eastAsia" w:ascii="仿宋_GB2312" w:hAnsi="Times New Roman" w:eastAsia="仿宋_GB2312" w:cs="Times New Roman"/>
          <w:b/>
          <w:bCs/>
          <w:sz w:val="24"/>
        </w:rPr>
        <w:t>四、细胞质膜</w:t>
      </w:r>
    </w:p>
    <w:p w14:paraId="47044A9D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1．生物膜结构模型的基本要点，生物膜的基本组成成分、特征与功能</w:t>
      </w:r>
    </w:p>
    <w:p w14:paraId="046E8C49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2．膜骨架的结构特点和研究方法</w:t>
      </w:r>
    </w:p>
    <w:p w14:paraId="33712C0C">
      <w:pPr>
        <w:ind w:firstLine="723" w:firstLineChars="300"/>
        <w:rPr>
          <w:rFonts w:hint="eastAsia" w:ascii="仿宋_GB2312" w:hAnsi="Times New Roman" w:eastAsia="仿宋_GB2312" w:cs="Times New Roman"/>
          <w:b/>
          <w:bCs/>
          <w:sz w:val="24"/>
        </w:rPr>
      </w:pPr>
      <w:r>
        <w:rPr>
          <w:rFonts w:hint="eastAsia" w:ascii="仿宋_GB2312" w:hAnsi="Times New Roman" w:eastAsia="仿宋_GB2312" w:cs="Times New Roman"/>
          <w:b/>
          <w:bCs/>
          <w:sz w:val="24"/>
        </w:rPr>
        <w:t>五、物质的跨膜运输</w:t>
      </w:r>
    </w:p>
    <w:p w14:paraId="685ABB9F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物质的跨膜运输的基本概念、主要方式、运输的基本过程</w:t>
      </w:r>
    </w:p>
    <w:p w14:paraId="08341CC7">
      <w:pPr>
        <w:ind w:firstLine="723" w:firstLineChars="300"/>
        <w:rPr>
          <w:rFonts w:hint="eastAsia" w:ascii="仿宋_GB2312" w:hAnsi="Times New Roman" w:eastAsia="仿宋_GB2312" w:cs="Times New Roman"/>
          <w:b/>
          <w:bCs/>
          <w:sz w:val="24"/>
        </w:rPr>
      </w:pPr>
      <w:r>
        <w:rPr>
          <w:rFonts w:hint="eastAsia" w:ascii="仿宋_GB2312" w:hAnsi="Times New Roman" w:eastAsia="仿宋_GB2312" w:cs="Times New Roman"/>
          <w:b/>
          <w:bCs/>
          <w:sz w:val="24"/>
        </w:rPr>
        <w:t>六、细胞的能量转换</w:t>
      </w:r>
    </w:p>
    <w:p w14:paraId="6A517CBE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1．线粒体的显微形态特征、超微结构与功能定位及各部的结构和化学的组成特点</w:t>
      </w:r>
    </w:p>
    <w:p w14:paraId="440A5F52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2．内膜进行能量转化(氧化磷酸化)的分子和超分子结构基础与转化机制</w:t>
      </w:r>
    </w:p>
    <w:p w14:paraId="61E2216D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3．线粒体的半自性，线粒体的增殖和起源。</w:t>
      </w:r>
    </w:p>
    <w:p w14:paraId="560D2F56">
      <w:pPr>
        <w:ind w:firstLine="723" w:firstLineChars="300"/>
        <w:rPr>
          <w:rFonts w:hint="eastAsia" w:ascii="仿宋_GB2312" w:hAnsi="Times New Roman" w:eastAsia="仿宋_GB2312" w:cs="Times New Roman"/>
          <w:b/>
          <w:bCs/>
          <w:sz w:val="24"/>
        </w:rPr>
      </w:pPr>
      <w:r>
        <w:rPr>
          <w:rFonts w:hint="eastAsia" w:ascii="仿宋_GB2312" w:hAnsi="Times New Roman" w:eastAsia="仿宋_GB2312" w:cs="Times New Roman"/>
          <w:b/>
          <w:bCs/>
          <w:sz w:val="24"/>
        </w:rPr>
        <w:t>七、细胞内膜系统</w:t>
      </w:r>
    </w:p>
    <w:p w14:paraId="69862439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1．内膜系统的概念，内质网、高尔基复合体、溶酶体、过氧化物酶体的形态结构特点及功能</w:t>
      </w:r>
    </w:p>
    <w:p w14:paraId="220D9982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2．信号假说与蛋白质分选信号</w:t>
      </w:r>
    </w:p>
    <w:p w14:paraId="721AA27C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3．膜泡运输</w:t>
      </w:r>
    </w:p>
    <w:p w14:paraId="2676A053">
      <w:pPr>
        <w:ind w:firstLine="723" w:firstLineChars="300"/>
        <w:rPr>
          <w:rFonts w:hint="eastAsia" w:ascii="仿宋_GB2312" w:hAnsi="Times New Roman" w:eastAsia="仿宋_GB2312" w:cs="Times New Roman"/>
          <w:b/>
          <w:bCs/>
          <w:sz w:val="24"/>
        </w:rPr>
      </w:pPr>
      <w:r>
        <w:rPr>
          <w:rFonts w:hint="eastAsia" w:ascii="仿宋_GB2312" w:hAnsi="Times New Roman" w:eastAsia="仿宋_GB2312" w:cs="Times New Roman"/>
          <w:b/>
          <w:bCs/>
          <w:sz w:val="24"/>
        </w:rPr>
        <w:t>八、细胞信号转导</w:t>
      </w:r>
    </w:p>
    <w:p w14:paraId="11776F3C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1．细胞通讯与细胞识别的基本知识和基本概念</w:t>
      </w:r>
    </w:p>
    <w:p w14:paraId="3F72783C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2．信号传递的类型及其作用机制</w:t>
      </w:r>
    </w:p>
    <w:p w14:paraId="7E534E37">
      <w:pPr>
        <w:ind w:firstLine="723" w:firstLineChars="300"/>
        <w:rPr>
          <w:rFonts w:hint="eastAsia" w:ascii="仿宋_GB2312" w:hAnsi="Times New Roman" w:eastAsia="仿宋_GB2312" w:cs="Times New Roman"/>
          <w:b/>
          <w:bCs/>
          <w:sz w:val="24"/>
        </w:rPr>
      </w:pPr>
      <w:r>
        <w:rPr>
          <w:rFonts w:hint="eastAsia" w:ascii="仿宋_GB2312" w:hAnsi="Times New Roman" w:eastAsia="仿宋_GB2312" w:cs="Times New Roman"/>
          <w:b/>
          <w:bCs/>
          <w:sz w:val="24"/>
        </w:rPr>
        <w:t>九、细胞骨架</w:t>
      </w:r>
    </w:p>
    <w:p w14:paraId="52A393D2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细胞骨架、核骨架及核基质的概念和功能</w:t>
      </w:r>
    </w:p>
    <w:p w14:paraId="7FFB7A57">
      <w:pPr>
        <w:ind w:firstLine="723" w:firstLineChars="300"/>
        <w:rPr>
          <w:rFonts w:hint="eastAsia" w:ascii="仿宋_GB2312" w:hAnsi="Times New Roman" w:eastAsia="仿宋_GB2312" w:cs="Times New Roman"/>
          <w:b/>
          <w:bCs/>
          <w:sz w:val="24"/>
        </w:rPr>
      </w:pPr>
      <w:r>
        <w:rPr>
          <w:rFonts w:hint="eastAsia" w:ascii="仿宋_GB2312" w:hAnsi="Times New Roman" w:eastAsia="仿宋_GB2312" w:cs="Times New Roman"/>
          <w:b/>
          <w:bCs/>
          <w:sz w:val="24"/>
        </w:rPr>
        <w:t>十、细胞核与染色体</w:t>
      </w:r>
    </w:p>
    <w:p w14:paraId="0A02A3CD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1．核被膜一般形态结构特点和生物学意义</w:t>
      </w:r>
    </w:p>
    <w:p w14:paraId="1F77BE20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2．核孔复合体的发现，结构模型及功能</w:t>
      </w:r>
    </w:p>
    <w:p w14:paraId="7C4574C9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3．染色质的概念及其化学组成</w:t>
      </w:r>
    </w:p>
    <w:p w14:paraId="4A6327E0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4．染色体的基本结构单位的结构模型和要点</w:t>
      </w:r>
    </w:p>
    <w:p w14:paraId="2CEB4A4D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5．核仁的超微结构分部和各部分的结构组成特点及功能。</w:t>
      </w:r>
    </w:p>
    <w:p w14:paraId="0EE0E4CD">
      <w:pPr>
        <w:ind w:firstLine="723" w:firstLineChars="300"/>
        <w:rPr>
          <w:rFonts w:hint="eastAsia" w:ascii="仿宋_GB2312" w:hAnsi="Times New Roman" w:eastAsia="仿宋_GB2312" w:cs="Times New Roman"/>
          <w:b/>
          <w:bCs/>
          <w:sz w:val="24"/>
        </w:rPr>
      </w:pPr>
      <w:r>
        <w:rPr>
          <w:rFonts w:hint="eastAsia" w:ascii="仿宋_GB2312" w:hAnsi="Times New Roman" w:eastAsia="仿宋_GB2312" w:cs="Times New Roman"/>
          <w:b/>
          <w:bCs/>
          <w:sz w:val="24"/>
        </w:rPr>
        <w:t>十一、核糖体</w:t>
      </w:r>
    </w:p>
    <w:p w14:paraId="51861987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核糖体的结构成分及其功能</w:t>
      </w:r>
    </w:p>
    <w:p w14:paraId="49AC00F2">
      <w:pPr>
        <w:ind w:firstLine="723" w:firstLineChars="300"/>
        <w:rPr>
          <w:rFonts w:hint="eastAsia" w:ascii="仿宋_GB2312" w:hAnsi="Times New Roman" w:eastAsia="仿宋_GB2312" w:cs="Times New Roman"/>
          <w:b/>
          <w:bCs/>
          <w:sz w:val="24"/>
        </w:rPr>
      </w:pPr>
      <w:r>
        <w:rPr>
          <w:rFonts w:hint="eastAsia" w:ascii="仿宋_GB2312" w:hAnsi="Times New Roman" w:eastAsia="仿宋_GB2312" w:cs="Times New Roman"/>
          <w:b/>
          <w:bCs/>
          <w:sz w:val="24"/>
        </w:rPr>
        <w:t>十二、细胞增殖及其调控</w:t>
      </w:r>
    </w:p>
    <w:p w14:paraId="428F9C97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1．细胞周期与细胞分裂</w:t>
      </w:r>
    </w:p>
    <w:p w14:paraId="1CC5DB65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2．细胞周期的调控</w:t>
      </w:r>
    </w:p>
    <w:p w14:paraId="5B0EB205">
      <w:pPr>
        <w:ind w:firstLine="723" w:firstLineChars="300"/>
        <w:rPr>
          <w:rFonts w:hint="eastAsia" w:ascii="仿宋_GB2312" w:hAnsi="Times New Roman" w:eastAsia="仿宋_GB2312" w:cs="Times New Roman"/>
          <w:b/>
          <w:bCs/>
          <w:sz w:val="24"/>
        </w:rPr>
      </w:pPr>
      <w:r>
        <w:rPr>
          <w:rFonts w:hint="eastAsia" w:ascii="仿宋_GB2312" w:hAnsi="Times New Roman" w:eastAsia="仿宋_GB2312" w:cs="Times New Roman"/>
          <w:b/>
          <w:bCs/>
          <w:sz w:val="24"/>
        </w:rPr>
        <w:t>十三、程序性细胞死亡与细胞衰老</w:t>
      </w:r>
    </w:p>
    <w:p w14:paraId="17751DA8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1．细胞衰老的分子机制</w:t>
      </w:r>
    </w:p>
    <w:p w14:paraId="6A5B8C2B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2．细胞凋亡的概念及其生物学意义</w:t>
      </w:r>
    </w:p>
    <w:p w14:paraId="1320A9E2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3．细胞凋亡的形态学和生物化学特性以及分子机制</w:t>
      </w:r>
    </w:p>
    <w:p w14:paraId="2C0BE900">
      <w:pPr>
        <w:ind w:firstLine="723" w:firstLineChars="300"/>
        <w:rPr>
          <w:rFonts w:hint="eastAsia" w:ascii="仿宋_GB2312" w:hAnsi="Times New Roman" w:eastAsia="仿宋_GB2312" w:cs="Times New Roman"/>
          <w:b/>
          <w:bCs/>
          <w:sz w:val="24"/>
        </w:rPr>
      </w:pPr>
      <w:r>
        <w:rPr>
          <w:rFonts w:hint="eastAsia" w:ascii="仿宋_GB2312" w:hAnsi="Times New Roman" w:eastAsia="仿宋_GB2312" w:cs="Times New Roman"/>
          <w:b/>
          <w:bCs/>
          <w:sz w:val="24"/>
        </w:rPr>
        <w:t>十四、细胞分化与基因表达调控</w:t>
      </w:r>
    </w:p>
    <w:p w14:paraId="0F5D069E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1．细胞分化的基本概念</w:t>
      </w:r>
    </w:p>
    <w:p w14:paraId="2A66CD84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2．干细胞的基本概念和相关知识</w:t>
      </w:r>
    </w:p>
    <w:p w14:paraId="27A50E33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3．癌细胞的基本特征及肿瘤的发生</w:t>
      </w:r>
    </w:p>
    <w:p w14:paraId="42A7CEE0">
      <w:pPr>
        <w:ind w:firstLine="723" w:firstLineChars="300"/>
        <w:rPr>
          <w:rFonts w:hint="eastAsia" w:ascii="仿宋_GB2312" w:hAnsi="Times New Roman" w:eastAsia="仿宋_GB2312" w:cs="Times New Roman"/>
          <w:b/>
          <w:bCs/>
          <w:sz w:val="24"/>
        </w:rPr>
      </w:pPr>
      <w:r>
        <w:rPr>
          <w:rFonts w:hint="eastAsia" w:ascii="仿宋_GB2312" w:hAnsi="Times New Roman" w:eastAsia="仿宋_GB2312" w:cs="Times New Roman"/>
          <w:b/>
          <w:bCs/>
          <w:sz w:val="24"/>
        </w:rPr>
        <w:t>十五、细胞社会的联系</w:t>
      </w:r>
    </w:p>
    <w:p w14:paraId="68415B5D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1．细胞连接、细胞黏附和细胞外基质，细胞连接的方式、特点及生物学意义</w:t>
      </w:r>
    </w:p>
    <w:p w14:paraId="01CDFE66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2．细胞黏附的分子基础</w:t>
      </w:r>
    </w:p>
    <w:p w14:paraId="0FB66A01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3．细胞外基质的基本概念、组成、化学结构特点和功能</w:t>
      </w:r>
    </w:p>
    <w:p w14:paraId="14D580C5">
      <w:pPr>
        <w:ind w:left="240"/>
        <w:rPr>
          <w:rFonts w:hint="eastAsia"/>
          <w:sz w:val="24"/>
        </w:rPr>
      </w:pPr>
    </w:p>
    <w:p w14:paraId="63E4EB44">
      <w:pPr>
        <w:rPr>
          <w:rFonts w:hint="eastAsia"/>
          <w:b/>
          <w:sz w:val="24"/>
        </w:rPr>
      </w:pPr>
    </w:p>
    <w:p w14:paraId="5101EABB">
      <w:pPr>
        <w:rPr>
          <w:rFonts w:hint="eastAsia"/>
          <w:sz w:val="24"/>
        </w:rPr>
      </w:pPr>
    </w:p>
    <w:sectPr>
      <w:headerReference r:id="rId3" w:type="default"/>
      <w:pgSz w:w="11907" w:h="16840"/>
      <w:pgMar w:top="567" w:right="1134" w:bottom="567" w:left="1134" w:header="567" w:footer="794" w:gutter="0"/>
      <w:cols w:space="720" w:num="1"/>
      <w:docGrid w:type="lines" w:linePitch="69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8948B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533EC8"/>
    <w:multiLevelType w:val="multilevel"/>
    <w:tmpl w:val="2F533EC8"/>
    <w:lvl w:ilvl="0" w:tentative="0">
      <w:start w:val="1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693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8BF"/>
    <w:rsid w:val="00002E7B"/>
    <w:rsid w:val="000340DC"/>
    <w:rsid w:val="000B48AD"/>
    <w:rsid w:val="0015163D"/>
    <w:rsid w:val="00180645"/>
    <w:rsid w:val="001D53A0"/>
    <w:rsid w:val="002037D5"/>
    <w:rsid w:val="00207B5B"/>
    <w:rsid w:val="002201C9"/>
    <w:rsid w:val="002311C1"/>
    <w:rsid w:val="00246D6B"/>
    <w:rsid w:val="00282573"/>
    <w:rsid w:val="00290871"/>
    <w:rsid w:val="002C1560"/>
    <w:rsid w:val="002C3293"/>
    <w:rsid w:val="00301DB4"/>
    <w:rsid w:val="00333E96"/>
    <w:rsid w:val="00344566"/>
    <w:rsid w:val="00351FEF"/>
    <w:rsid w:val="0036665A"/>
    <w:rsid w:val="003A6867"/>
    <w:rsid w:val="003C19EE"/>
    <w:rsid w:val="004052BD"/>
    <w:rsid w:val="0040641D"/>
    <w:rsid w:val="00415A57"/>
    <w:rsid w:val="00423BDE"/>
    <w:rsid w:val="00450B6F"/>
    <w:rsid w:val="00462A02"/>
    <w:rsid w:val="004C47FA"/>
    <w:rsid w:val="004F470F"/>
    <w:rsid w:val="005408D0"/>
    <w:rsid w:val="0059252D"/>
    <w:rsid w:val="00597C72"/>
    <w:rsid w:val="005D6903"/>
    <w:rsid w:val="005E6761"/>
    <w:rsid w:val="005E7D29"/>
    <w:rsid w:val="0060128F"/>
    <w:rsid w:val="006150F4"/>
    <w:rsid w:val="0061641B"/>
    <w:rsid w:val="00627E14"/>
    <w:rsid w:val="00643E63"/>
    <w:rsid w:val="006754D1"/>
    <w:rsid w:val="006845AB"/>
    <w:rsid w:val="006A190A"/>
    <w:rsid w:val="006A27B1"/>
    <w:rsid w:val="006A76B5"/>
    <w:rsid w:val="006C7BE1"/>
    <w:rsid w:val="006E1187"/>
    <w:rsid w:val="0072208B"/>
    <w:rsid w:val="00731235"/>
    <w:rsid w:val="007339CD"/>
    <w:rsid w:val="00735BF2"/>
    <w:rsid w:val="00736D7A"/>
    <w:rsid w:val="007B6148"/>
    <w:rsid w:val="007C3F1B"/>
    <w:rsid w:val="007D6450"/>
    <w:rsid w:val="00806401"/>
    <w:rsid w:val="008117E4"/>
    <w:rsid w:val="0082168C"/>
    <w:rsid w:val="008941D0"/>
    <w:rsid w:val="008B492D"/>
    <w:rsid w:val="008B7EA0"/>
    <w:rsid w:val="008E661B"/>
    <w:rsid w:val="00915044"/>
    <w:rsid w:val="0094302E"/>
    <w:rsid w:val="0097362E"/>
    <w:rsid w:val="00994E45"/>
    <w:rsid w:val="009C7FDA"/>
    <w:rsid w:val="00A07068"/>
    <w:rsid w:val="00A33D62"/>
    <w:rsid w:val="00A53E2E"/>
    <w:rsid w:val="00A619AC"/>
    <w:rsid w:val="00A66C1D"/>
    <w:rsid w:val="00A76DD2"/>
    <w:rsid w:val="00AA670C"/>
    <w:rsid w:val="00AC12D1"/>
    <w:rsid w:val="00B37183"/>
    <w:rsid w:val="00B719C4"/>
    <w:rsid w:val="00B77B34"/>
    <w:rsid w:val="00BA257A"/>
    <w:rsid w:val="00C003CC"/>
    <w:rsid w:val="00C0529B"/>
    <w:rsid w:val="00C3562C"/>
    <w:rsid w:val="00C42F90"/>
    <w:rsid w:val="00C74C94"/>
    <w:rsid w:val="00C84717"/>
    <w:rsid w:val="00C90DEC"/>
    <w:rsid w:val="00CA326E"/>
    <w:rsid w:val="00CA38E3"/>
    <w:rsid w:val="00CA6B1B"/>
    <w:rsid w:val="00CD5480"/>
    <w:rsid w:val="00CF3630"/>
    <w:rsid w:val="00D10814"/>
    <w:rsid w:val="00D145DE"/>
    <w:rsid w:val="00D27AF5"/>
    <w:rsid w:val="00D60B2B"/>
    <w:rsid w:val="00D74718"/>
    <w:rsid w:val="00D82825"/>
    <w:rsid w:val="00DB1E68"/>
    <w:rsid w:val="00DE5C58"/>
    <w:rsid w:val="00DF1F8A"/>
    <w:rsid w:val="00E0010F"/>
    <w:rsid w:val="00E16D96"/>
    <w:rsid w:val="00E258BF"/>
    <w:rsid w:val="00E35AAA"/>
    <w:rsid w:val="00E5004F"/>
    <w:rsid w:val="00E94E0F"/>
    <w:rsid w:val="00EA062A"/>
    <w:rsid w:val="00ED5E3E"/>
    <w:rsid w:val="00ED7911"/>
    <w:rsid w:val="00EE25D1"/>
    <w:rsid w:val="00EF491E"/>
    <w:rsid w:val="00EF6484"/>
    <w:rsid w:val="00F07E3C"/>
    <w:rsid w:val="00F3061C"/>
    <w:rsid w:val="00F404B2"/>
    <w:rsid w:val="00F701C2"/>
    <w:rsid w:val="00F86520"/>
    <w:rsid w:val="00F86D75"/>
    <w:rsid w:val="00F90030"/>
    <w:rsid w:val="00F93812"/>
    <w:rsid w:val="00FA021D"/>
    <w:rsid w:val="00FC500A"/>
    <w:rsid w:val="00FE3B99"/>
    <w:rsid w:val="1704479B"/>
    <w:rsid w:val="1DAD16CF"/>
    <w:rsid w:val="235B1217"/>
    <w:rsid w:val="2B4C0FD7"/>
    <w:rsid w:val="34AF58B8"/>
    <w:rsid w:val="379A7A38"/>
    <w:rsid w:val="3A344A39"/>
    <w:rsid w:val="53505B46"/>
    <w:rsid w:val="56CF5858"/>
    <w:rsid w:val="5A704E3D"/>
    <w:rsid w:val="605B1087"/>
    <w:rsid w:val="64CA020E"/>
    <w:rsid w:val="7CEB1C01"/>
    <w:rsid w:val="7E233B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0"/>
    <w:rPr>
      <w:kern w:val="2"/>
      <w:sz w:val="18"/>
      <w:szCs w:val="18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166</Words>
  <Characters>950</Characters>
  <Lines>7</Lines>
  <Paragraphs>2</Paragraphs>
  <TotalTime>0</TotalTime>
  <ScaleCrop>false</ScaleCrop>
  <LinksUpToDate>false</LinksUpToDate>
  <CharactersWithSpaces>1114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2020-06-30T01:36:00Z</dcterms:created>
  <dc:creator>zsd</dc:creator>
  <cp:lastModifiedBy>vertesyuan</cp:lastModifiedBy>
  <cp:lastPrinted>2008-07-03T05:39:00Z</cp:lastPrinted>
  <dcterms:modified xsi:type="dcterms:W3CDTF">2024-10-10T07:17:34Z</dcterms:modified>
  <dc:title>浙江师范大学2004年研究生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RubyTemplateID">
    <vt:lpwstr>6</vt:lpwstr>
  </property>
  <property fmtid="{D5CDD505-2E9C-101B-9397-08002B2CF9AE}" pid="4" name="ICV">
    <vt:lpwstr>CC8CB0EA508843D1BCD75F7120BA0E09_13</vt:lpwstr>
  </property>
</Properties>
</file>