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92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9"/>
        <w:gridCol w:w="12365"/>
      </w:tblGrid>
      <w:tr w:rsidR="0019539C" w14:paraId="779C9300" w14:textId="77777777">
        <w:tc>
          <w:tcPr>
            <w:tcW w:w="14174" w:type="dxa"/>
            <w:gridSpan w:val="2"/>
            <w:tcBorders>
              <w:top w:val="single" w:sz="4" w:space="0" w:color="000000"/>
              <w:left w:val="single" w:sz="4" w:space="0" w:color="000000"/>
              <w:bottom w:val="single" w:sz="4" w:space="0" w:color="000000"/>
              <w:right w:val="single" w:sz="4" w:space="0" w:color="000000"/>
            </w:tcBorders>
          </w:tcPr>
          <w:p w14:paraId="4192A47D" w14:textId="77777777" w:rsidR="0019539C" w:rsidRDefault="00000000">
            <w:pPr>
              <w:pStyle w:val="HtmlNormal"/>
              <w:shd w:val="clear" w:color="auto" w:fill="FFFFFF"/>
              <w:spacing w:before="0" w:after="0"/>
              <w:jc w:val="center"/>
              <w:rPr>
                <w:rStyle w:val="NormalCharacter"/>
                <w:rFonts w:ascii="仿宋" w:eastAsia="仿宋" w:hAnsi="仿宋" w:hint="eastAsia"/>
                <w:b/>
                <w:color w:val="333333"/>
                <w:sz w:val="32"/>
                <w:szCs w:val="32"/>
              </w:rPr>
            </w:pPr>
            <w:r>
              <w:rPr>
                <w:rStyle w:val="NormalCharacter"/>
                <w:rFonts w:ascii="仿宋" w:eastAsia="仿宋" w:hAnsi="仿宋"/>
                <w:b/>
                <w:color w:val="333333"/>
                <w:sz w:val="32"/>
                <w:szCs w:val="32"/>
              </w:rPr>
              <w:t>《专业综合》考试大纲</w:t>
            </w:r>
          </w:p>
          <w:p w14:paraId="22FA3773" w14:textId="77777777" w:rsidR="0019539C" w:rsidRDefault="00000000">
            <w:pPr>
              <w:rPr>
                <w:rStyle w:val="NormalCharacter"/>
                <w:rFonts w:ascii="??" w:hAnsi="??"/>
                <w:color w:val="333333"/>
                <w:sz w:val="18"/>
                <w:szCs w:val="18"/>
              </w:rPr>
            </w:pPr>
            <w:r>
              <w:rPr>
                <w:rStyle w:val="NormalCharacter"/>
                <w:rFonts w:ascii="??" w:hAnsi="??"/>
                <w:b/>
                <w:color w:val="333333"/>
                <w:szCs w:val="21"/>
              </w:rPr>
              <w:t>适用专业名称</w:t>
            </w:r>
            <w:r>
              <w:rPr>
                <w:rStyle w:val="NormalCharacter"/>
                <w:rFonts w:ascii="??" w:hAnsi="??"/>
                <w:b/>
                <w:color w:val="333333"/>
                <w:sz w:val="18"/>
                <w:szCs w:val="18"/>
              </w:rPr>
              <w:t>：</w:t>
            </w:r>
            <w:r>
              <w:rPr>
                <w:rStyle w:val="NormalCharacter"/>
                <w:rFonts w:ascii="??" w:hAnsi="??"/>
                <w:b/>
                <w:bCs/>
                <w:color w:val="000000"/>
                <w:szCs w:val="21"/>
              </w:rPr>
              <w:t>会计硕士</w:t>
            </w:r>
            <w:r>
              <w:rPr>
                <w:rStyle w:val="NormalCharacter"/>
                <w:rFonts w:ascii="??" w:hAnsi="??"/>
                <w:b/>
                <w:bCs/>
                <w:color w:val="000000"/>
                <w:szCs w:val="21"/>
              </w:rPr>
              <w:t>MPAcc</w:t>
            </w:r>
            <w:r>
              <w:rPr>
                <w:rStyle w:val="NormalCharacter"/>
                <w:rFonts w:ascii="??" w:hAnsi="??"/>
                <w:color w:val="333333"/>
                <w:szCs w:val="21"/>
              </w:rPr>
              <w:t xml:space="preserve"> </w:t>
            </w:r>
            <w:r>
              <w:rPr>
                <w:rStyle w:val="NormalCharacter"/>
                <w:rFonts w:ascii="??" w:hAnsi="??"/>
                <w:color w:val="333333"/>
                <w:szCs w:val="21"/>
              </w:rPr>
              <w:t xml:space="preserve">　</w:t>
            </w:r>
          </w:p>
        </w:tc>
      </w:tr>
      <w:tr w:rsidR="0019539C" w14:paraId="1E91A7AA" w14:textId="77777777">
        <w:tc>
          <w:tcPr>
            <w:tcW w:w="1809" w:type="dxa"/>
            <w:tcBorders>
              <w:top w:val="single" w:sz="4" w:space="0" w:color="000000"/>
              <w:left w:val="single" w:sz="4" w:space="0" w:color="000000"/>
              <w:bottom w:val="single" w:sz="4" w:space="0" w:color="000000"/>
              <w:right w:val="single" w:sz="4" w:space="0" w:color="000000"/>
            </w:tcBorders>
          </w:tcPr>
          <w:p w14:paraId="4073F253" w14:textId="77777777" w:rsidR="0019539C" w:rsidRDefault="00000000">
            <w:pPr>
              <w:jc w:val="center"/>
              <w:rPr>
                <w:rStyle w:val="NormalCharacter"/>
                <w:rFonts w:ascii="宋体"/>
                <w:b/>
                <w:szCs w:val="21"/>
              </w:rPr>
            </w:pPr>
            <w:r>
              <w:rPr>
                <w:rStyle w:val="NormalCharacter"/>
                <w:b/>
                <w:szCs w:val="21"/>
              </w:rPr>
              <w:t>科目代码及名称</w:t>
            </w:r>
          </w:p>
        </w:tc>
        <w:tc>
          <w:tcPr>
            <w:tcW w:w="12365" w:type="dxa"/>
            <w:tcBorders>
              <w:top w:val="single" w:sz="4" w:space="0" w:color="000000"/>
              <w:left w:val="single" w:sz="4" w:space="0" w:color="000000"/>
              <w:bottom w:val="single" w:sz="4" w:space="0" w:color="000000"/>
              <w:right w:val="single" w:sz="4" w:space="0" w:color="000000"/>
            </w:tcBorders>
          </w:tcPr>
          <w:p w14:paraId="1F366021" w14:textId="77777777" w:rsidR="0019539C" w:rsidRDefault="00000000">
            <w:pPr>
              <w:jc w:val="center"/>
              <w:rPr>
                <w:rStyle w:val="NormalCharacter"/>
                <w:b/>
                <w:szCs w:val="21"/>
              </w:rPr>
            </w:pPr>
            <w:r>
              <w:rPr>
                <w:rStyle w:val="NormalCharacter"/>
                <w:b/>
                <w:szCs w:val="21"/>
              </w:rPr>
              <w:t>考试大纲</w:t>
            </w:r>
            <w:r>
              <w:rPr>
                <w:rStyle w:val="NormalCharacter"/>
                <w:b/>
                <w:szCs w:val="21"/>
              </w:rPr>
              <w:t xml:space="preserve"> </w:t>
            </w:r>
          </w:p>
        </w:tc>
      </w:tr>
      <w:tr w:rsidR="0019539C" w14:paraId="1D08E1C3" w14:textId="77777777">
        <w:trPr>
          <w:trHeight w:val="5909"/>
        </w:trPr>
        <w:tc>
          <w:tcPr>
            <w:tcW w:w="1809" w:type="dxa"/>
            <w:tcBorders>
              <w:top w:val="single" w:sz="4" w:space="0" w:color="000000"/>
              <w:left w:val="single" w:sz="4" w:space="0" w:color="000000"/>
              <w:bottom w:val="single" w:sz="4" w:space="0" w:color="000000"/>
              <w:right w:val="single" w:sz="4" w:space="0" w:color="000000"/>
            </w:tcBorders>
          </w:tcPr>
          <w:p w14:paraId="391EDC63" w14:textId="77777777" w:rsidR="0019539C" w:rsidRDefault="00000000">
            <w:pPr>
              <w:jc w:val="left"/>
              <w:rPr>
                <w:rStyle w:val="NormalCharacter"/>
                <w:b/>
                <w:sz w:val="18"/>
                <w:szCs w:val="18"/>
              </w:rPr>
            </w:pPr>
            <w:r>
              <w:rPr>
                <w:rStyle w:val="NormalCharacter"/>
                <w:rFonts w:hint="eastAsia"/>
                <w:b/>
                <w:sz w:val="18"/>
                <w:szCs w:val="18"/>
              </w:rPr>
              <w:t>34</w:t>
            </w:r>
            <w:r>
              <w:rPr>
                <w:rStyle w:val="NormalCharacter"/>
                <w:b/>
                <w:sz w:val="18"/>
                <w:szCs w:val="18"/>
              </w:rPr>
              <w:t>专业综合</w:t>
            </w:r>
          </w:p>
          <w:p w14:paraId="52CB1F5C" w14:textId="77777777" w:rsidR="0019539C" w:rsidRDefault="0019539C">
            <w:pPr>
              <w:rPr>
                <w:rStyle w:val="NormalCharacter"/>
                <w:b/>
                <w:color w:val="FF0000"/>
                <w:sz w:val="18"/>
                <w:szCs w:val="18"/>
              </w:rPr>
            </w:pPr>
          </w:p>
        </w:tc>
        <w:tc>
          <w:tcPr>
            <w:tcW w:w="12365" w:type="dxa"/>
            <w:tcBorders>
              <w:top w:val="single" w:sz="4" w:space="0" w:color="000000"/>
              <w:left w:val="single" w:sz="4" w:space="0" w:color="000000"/>
              <w:bottom w:val="single" w:sz="4" w:space="0" w:color="000000"/>
              <w:right w:val="single" w:sz="4" w:space="0" w:color="000000"/>
            </w:tcBorders>
          </w:tcPr>
          <w:p w14:paraId="56D360BA" w14:textId="77777777" w:rsidR="0019539C" w:rsidRDefault="00000000">
            <w:pPr>
              <w:pStyle w:val="179"/>
              <w:numPr>
                <w:ilvl w:val="0"/>
                <w:numId w:val="1"/>
              </w:numPr>
              <w:spacing w:line="351" w:lineRule="exact"/>
              <w:ind w:firstLineChars="0"/>
              <w:rPr>
                <w:rStyle w:val="NormalCharacter"/>
                <w:b/>
                <w:sz w:val="18"/>
                <w:szCs w:val="18"/>
              </w:rPr>
            </w:pPr>
            <w:r>
              <w:rPr>
                <w:rStyle w:val="NormalCharacter"/>
                <w:b/>
                <w:sz w:val="18"/>
                <w:szCs w:val="18"/>
              </w:rPr>
              <w:t>考试范围与要求</w:t>
            </w:r>
          </w:p>
          <w:p w14:paraId="7B03374D" w14:textId="77777777" w:rsidR="0019539C" w:rsidRDefault="00000000">
            <w:pPr>
              <w:spacing w:line="351" w:lineRule="exact"/>
              <w:rPr>
                <w:rStyle w:val="NormalCharacter"/>
                <w:rFonts w:cs="Times New Roman"/>
                <w:b/>
                <w:bCs/>
                <w:sz w:val="18"/>
                <w:szCs w:val="18"/>
              </w:rPr>
            </w:pPr>
            <w:r>
              <w:rPr>
                <w:rStyle w:val="NormalCharacter"/>
                <w:rFonts w:cs="Times New Roman" w:hint="eastAsia"/>
                <w:b/>
                <w:bCs/>
                <w:sz w:val="18"/>
                <w:szCs w:val="18"/>
              </w:rPr>
              <w:t xml:space="preserve">　　</w:t>
            </w:r>
            <w:r>
              <w:rPr>
                <w:rStyle w:val="NormalCharacter"/>
                <w:rFonts w:cs="Times New Roman"/>
                <w:b/>
                <w:bCs/>
                <w:sz w:val="18"/>
                <w:szCs w:val="18"/>
              </w:rPr>
              <w:t>（一）考试涵盖范围</w:t>
            </w:r>
          </w:p>
          <w:p w14:paraId="39F84B39" w14:textId="77777777" w:rsidR="0019539C" w:rsidRDefault="00000000">
            <w:pPr>
              <w:ind w:firstLineChars="200" w:firstLine="360"/>
              <w:rPr>
                <w:rStyle w:val="NormalCharacter"/>
                <w:sz w:val="18"/>
                <w:szCs w:val="18"/>
              </w:rPr>
            </w:pPr>
            <w:r>
              <w:rPr>
                <w:rStyle w:val="NormalCharacter"/>
                <w:sz w:val="18"/>
                <w:szCs w:val="18"/>
              </w:rPr>
              <w:t>本科目涵盖财务会计、财务管理、成本与管理会计、审计四部分内容。</w:t>
            </w:r>
          </w:p>
          <w:p w14:paraId="40B7C7E8"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（二）考试要求</w:t>
            </w:r>
          </w:p>
          <w:p w14:paraId="0020EE25" w14:textId="5F51B90A" w:rsidR="0019539C" w:rsidRDefault="00000000">
            <w:pPr>
              <w:pStyle w:val="179"/>
              <w:ind w:firstLine="360"/>
              <w:rPr>
                <w:rStyle w:val="NormalCharacter"/>
                <w:sz w:val="18"/>
                <w:szCs w:val="18"/>
              </w:rPr>
            </w:pPr>
            <w:r>
              <w:rPr>
                <w:rStyle w:val="NormalCharacter"/>
                <w:sz w:val="18"/>
                <w:szCs w:val="18"/>
              </w:rPr>
              <w:t>财务会计：主要考察考生对会计学专业领域的基本知识</w:t>
            </w:r>
            <w:r w:rsidR="008B67B8">
              <w:rPr>
                <w:rStyle w:val="NormalCharacter"/>
                <w:rFonts w:hint="eastAsia"/>
                <w:sz w:val="18"/>
                <w:szCs w:val="18"/>
              </w:rPr>
              <w:t>、</w:t>
            </w:r>
            <w:r>
              <w:rPr>
                <w:rStyle w:val="NormalCharacter"/>
                <w:sz w:val="18"/>
                <w:szCs w:val="18"/>
              </w:rPr>
              <w:t>基本理论和基本方法的掌握情况。测试考生对财务会计目标、会计前提、会计要素分类、会计计量属性等的掌握和运用情况，考核考生运用上述会计基本原则、方法进行会计处理的能力，考察考生是否能够灵活运用这些知识、理论和方法分析解决相关的专业问题。</w:t>
            </w:r>
          </w:p>
          <w:p w14:paraId="7CBC55D2" w14:textId="2C4AD10C" w:rsidR="0019539C" w:rsidRDefault="00000000">
            <w:pPr>
              <w:pStyle w:val="179"/>
              <w:ind w:firstLine="360"/>
              <w:rPr>
                <w:rStyle w:val="NormalCharacter"/>
                <w:sz w:val="18"/>
                <w:szCs w:val="18"/>
              </w:rPr>
            </w:pPr>
            <w:r>
              <w:rPr>
                <w:rStyle w:val="NormalCharacter"/>
                <w:sz w:val="18"/>
                <w:szCs w:val="18"/>
              </w:rPr>
              <w:t>财务管理：测试考生对价值分析与财务分析的基本方法</w:t>
            </w:r>
            <w:r w:rsidR="008B67B8">
              <w:rPr>
                <w:rStyle w:val="NormalCharacter"/>
                <w:rFonts w:hint="eastAsia"/>
                <w:sz w:val="18"/>
                <w:szCs w:val="18"/>
              </w:rPr>
              <w:t>、</w:t>
            </w:r>
            <w:r>
              <w:rPr>
                <w:rStyle w:val="NormalCharacter"/>
                <w:sz w:val="18"/>
                <w:szCs w:val="18"/>
              </w:rPr>
              <w:t>企业筹资管理、投资决策、营运资金管理及股利分配等相关内容的理解掌握程度以及对知识的运用能力。要求考生准确记忆基本概念，理解基本理论，掌握基本计算，并能妥善运用到综合题目的处理中。</w:t>
            </w:r>
          </w:p>
          <w:p w14:paraId="0614543B" w14:textId="5C59C304" w:rsidR="0019539C" w:rsidRDefault="00000000">
            <w:pPr>
              <w:pStyle w:val="179"/>
              <w:ind w:firstLine="360"/>
              <w:rPr>
                <w:rStyle w:val="NormalCharacter"/>
                <w:sz w:val="18"/>
                <w:szCs w:val="18"/>
              </w:rPr>
            </w:pPr>
            <w:r>
              <w:rPr>
                <w:rStyle w:val="NormalCharacter"/>
                <w:sz w:val="18"/>
                <w:szCs w:val="18"/>
              </w:rPr>
              <w:t>成本与管理会计：测试考生对成本与管理会计的基本概念、产品成本核算方法、成本分析与成本管理、本量利分析、经营决策分析等相关理论与方法的理解</w:t>
            </w:r>
            <w:r w:rsidR="008B67B8">
              <w:rPr>
                <w:rStyle w:val="NormalCharacter"/>
                <w:rFonts w:hint="eastAsia"/>
                <w:sz w:val="18"/>
                <w:szCs w:val="18"/>
              </w:rPr>
              <w:t>和</w:t>
            </w:r>
            <w:r>
              <w:rPr>
                <w:rStyle w:val="NormalCharacter"/>
                <w:sz w:val="18"/>
                <w:szCs w:val="18"/>
              </w:rPr>
              <w:t>掌握程度</w:t>
            </w:r>
            <w:r w:rsidR="008B67B8">
              <w:rPr>
                <w:rStyle w:val="NormalCharacter"/>
                <w:rFonts w:hint="eastAsia"/>
                <w:sz w:val="18"/>
                <w:szCs w:val="18"/>
              </w:rPr>
              <w:t>，以及</w:t>
            </w:r>
            <w:r>
              <w:rPr>
                <w:rStyle w:val="NormalCharacter"/>
                <w:sz w:val="18"/>
                <w:szCs w:val="18"/>
              </w:rPr>
              <w:t>对知识的运用能力。要求考生准确记忆基本概念，理解基本理论，掌握基本计算，并能妥善运用到综合题目的处理中。</w:t>
            </w:r>
          </w:p>
          <w:p w14:paraId="0DCC374F" w14:textId="09986957" w:rsidR="0019539C" w:rsidRDefault="00000000">
            <w:pPr>
              <w:pStyle w:val="179"/>
              <w:ind w:firstLine="360"/>
              <w:rPr>
                <w:rStyle w:val="NormalCharacter"/>
                <w:sz w:val="18"/>
                <w:szCs w:val="18"/>
              </w:rPr>
            </w:pPr>
            <w:r>
              <w:rPr>
                <w:rStyle w:val="NormalCharacter"/>
                <w:sz w:val="18"/>
                <w:szCs w:val="18"/>
              </w:rPr>
              <w:t>审计：测试考生对审计职业规范、审计目标、审计证据、重要性及审计风险等的掌握和运用情况，考核考生运用上述审计基本理论、方法进行业务循环审计处理的能力，考察考生是否能够灵活运用这些知识、理论和方法分析解决相关的专业问题，</w:t>
            </w:r>
            <w:r w:rsidR="004B60CB">
              <w:rPr>
                <w:rStyle w:val="NormalCharacter"/>
                <w:rFonts w:hint="eastAsia"/>
                <w:sz w:val="18"/>
                <w:szCs w:val="18"/>
              </w:rPr>
              <w:t>并</w:t>
            </w:r>
            <w:r>
              <w:rPr>
                <w:rStyle w:val="NormalCharacter"/>
                <w:sz w:val="18"/>
                <w:szCs w:val="18"/>
              </w:rPr>
              <w:t>出具恰当的审计报告。</w:t>
            </w:r>
          </w:p>
          <w:p w14:paraId="4CBD6553" w14:textId="77777777" w:rsidR="0019539C" w:rsidRDefault="00000000">
            <w:pPr>
              <w:pStyle w:val="179"/>
              <w:numPr>
                <w:ilvl w:val="0"/>
                <w:numId w:val="1"/>
              </w:numPr>
              <w:spacing w:line="351" w:lineRule="exact"/>
              <w:ind w:firstLineChars="0"/>
              <w:rPr>
                <w:rStyle w:val="NormalCharacter"/>
                <w:sz w:val="18"/>
                <w:szCs w:val="18"/>
              </w:rPr>
            </w:pPr>
            <w:r>
              <w:rPr>
                <w:rStyle w:val="NormalCharacter"/>
                <w:b/>
                <w:sz w:val="18"/>
                <w:szCs w:val="18"/>
              </w:rPr>
              <w:t>试卷结构</w:t>
            </w:r>
            <w:r>
              <w:rPr>
                <w:rStyle w:val="NormalCharacter"/>
                <w:sz w:val="18"/>
                <w:szCs w:val="18"/>
              </w:rPr>
              <w:t>（满分</w:t>
            </w:r>
            <w:r>
              <w:rPr>
                <w:rStyle w:val="NormalCharacter"/>
                <w:sz w:val="18"/>
                <w:szCs w:val="18"/>
              </w:rPr>
              <w:t>100</w:t>
            </w:r>
            <w:r>
              <w:rPr>
                <w:rStyle w:val="NormalCharacter"/>
                <w:sz w:val="18"/>
                <w:szCs w:val="18"/>
              </w:rPr>
              <w:t>分）</w:t>
            </w:r>
          </w:p>
          <w:p w14:paraId="1B0B19F5"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（一）内容比例</w:t>
            </w:r>
          </w:p>
          <w:p w14:paraId="6EF22401" w14:textId="77777777" w:rsidR="0019539C" w:rsidRDefault="00000000">
            <w:pPr>
              <w:pStyle w:val="179"/>
              <w:ind w:firstLine="360"/>
              <w:rPr>
                <w:rStyle w:val="NormalCharacter"/>
                <w:sz w:val="18"/>
                <w:szCs w:val="18"/>
              </w:rPr>
            </w:pPr>
            <w:r>
              <w:rPr>
                <w:rStyle w:val="NormalCharacter"/>
                <w:sz w:val="18"/>
                <w:szCs w:val="18"/>
              </w:rPr>
              <w:t>财务会计占</w:t>
            </w:r>
            <w:r>
              <w:rPr>
                <w:rStyle w:val="NormalCharacter"/>
                <w:rFonts w:hint="eastAsia"/>
                <w:sz w:val="18"/>
                <w:szCs w:val="18"/>
              </w:rPr>
              <w:t>7</w:t>
            </w:r>
            <w:r>
              <w:rPr>
                <w:rStyle w:val="NormalCharacter"/>
                <w:sz w:val="18"/>
                <w:szCs w:val="18"/>
              </w:rPr>
              <w:t>0%</w:t>
            </w:r>
            <w:r>
              <w:rPr>
                <w:rStyle w:val="NormalCharacter"/>
                <w:sz w:val="18"/>
                <w:szCs w:val="18"/>
              </w:rPr>
              <w:t>、财务管理占</w:t>
            </w:r>
            <w:r>
              <w:rPr>
                <w:rStyle w:val="NormalCharacter"/>
                <w:rFonts w:hint="eastAsia"/>
                <w:sz w:val="18"/>
                <w:szCs w:val="18"/>
              </w:rPr>
              <w:t>1</w:t>
            </w:r>
            <w:r>
              <w:rPr>
                <w:rStyle w:val="NormalCharacter"/>
                <w:sz w:val="18"/>
                <w:szCs w:val="18"/>
              </w:rPr>
              <w:t>0%</w:t>
            </w:r>
            <w:r>
              <w:rPr>
                <w:rStyle w:val="NormalCharacter"/>
                <w:sz w:val="18"/>
                <w:szCs w:val="18"/>
              </w:rPr>
              <w:t>、成本与管理会计占</w:t>
            </w:r>
            <w:r>
              <w:rPr>
                <w:rStyle w:val="NormalCharacter"/>
                <w:rFonts w:hint="eastAsia"/>
                <w:sz w:val="18"/>
                <w:szCs w:val="18"/>
              </w:rPr>
              <w:t>1</w:t>
            </w:r>
            <w:r>
              <w:rPr>
                <w:rStyle w:val="NormalCharacter"/>
                <w:sz w:val="18"/>
                <w:szCs w:val="18"/>
              </w:rPr>
              <w:t>0%</w:t>
            </w:r>
            <w:r>
              <w:rPr>
                <w:rStyle w:val="NormalCharacter"/>
                <w:sz w:val="18"/>
                <w:szCs w:val="18"/>
              </w:rPr>
              <w:t>、审计占</w:t>
            </w:r>
            <w:r>
              <w:rPr>
                <w:rStyle w:val="NormalCharacter"/>
                <w:sz w:val="18"/>
                <w:szCs w:val="18"/>
              </w:rPr>
              <w:t>10%</w:t>
            </w:r>
            <w:r>
              <w:rPr>
                <w:rStyle w:val="NormalCharacter"/>
                <w:sz w:val="18"/>
                <w:szCs w:val="18"/>
              </w:rPr>
              <w:t>。</w:t>
            </w:r>
          </w:p>
          <w:p w14:paraId="6644EB1B"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（二）题型比例</w:t>
            </w:r>
          </w:p>
          <w:p w14:paraId="2F7A18E8" w14:textId="77777777" w:rsidR="0019539C" w:rsidRDefault="00000000">
            <w:pPr>
              <w:ind w:firstLineChars="200" w:firstLine="360"/>
              <w:rPr>
                <w:rStyle w:val="NormalCharacter"/>
                <w:rFonts w:ascii="宋体"/>
                <w:kern w:val="0"/>
                <w:sz w:val="18"/>
                <w:szCs w:val="18"/>
              </w:rPr>
            </w:pPr>
            <w:r>
              <w:rPr>
                <w:rStyle w:val="NormalCharacter"/>
                <w:rFonts w:ascii="宋体"/>
                <w:kern w:val="0"/>
                <w:sz w:val="18"/>
                <w:szCs w:val="18"/>
              </w:rPr>
              <w:t>客观题约占60%</w:t>
            </w:r>
            <w:r>
              <w:rPr>
                <w:rStyle w:val="NormalCharacter"/>
                <w:rFonts w:ascii="宋体" w:hint="eastAsia"/>
                <w:kern w:val="0"/>
                <w:sz w:val="18"/>
                <w:szCs w:val="18"/>
              </w:rPr>
              <w:t>，</w:t>
            </w:r>
            <w:r>
              <w:rPr>
                <w:rStyle w:val="NormalCharacter"/>
                <w:rFonts w:ascii="宋体"/>
                <w:kern w:val="0"/>
                <w:sz w:val="18"/>
                <w:szCs w:val="18"/>
              </w:rPr>
              <w:t>主观题约占40%。</w:t>
            </w:r>
          </w:p>
          <w:p w14:paraId="5501D1BB" w14:textId="77777777" w:rsidR="0019539C" w:rsidRDefault="0019539C">
            <w:pPr>
              <w:ind w:firstLineChars="200" w:firstLine="360"/>
              <w:rPr>
                <w:rStyle w:val="NormalCharacter"/>
                <w:rFonts w:ascii="宋体"/>
                <w:kern w:val="0"/>
                <w:sz w:val="18"/>
                <w:szCs w:val="18"/>
              </w:rPr>
            </w:pPr>
          </w:p>
          <w:p w14:paraId="3E52C80D" w14:textId="77777777" w:rsidR="0019539C" w:rsidRDefault="00000000">
            <w:pPr>
              <w:spacing w:line="351" w:lineRule="exact"/>
              <w:rPr>
                <w:rStyle w:val="NormalCharacter"/>
                <w:rFonts w:ascii="宋体"/>
                <w:b/>
                <w:kern w:val="0"/>
                <w:sz w:val="18"/>
                <w:szCs w:val="18"/>
              </w:rPr>
            </w:pPr>
            <w:r>
              <w:rPr>
                <w:rStyle w:val="NormalCharacter"/>
                <w:rFonts w:ascii="宋体"/>
                <w:b/>
                <w:kern w:val="0"/>
                <w:sz w:val="18"/>
                <w:szCs w:val="18"/>
              </w:rPr>
              <w:t>三、考试内容与要求</w:t>
            </w:r>
          </w:p>
          <w:p w14:paraId="6D909C3F" w14:textId="77777777" w:rsidR="0019539C" w:rsidRDefault="00000000">
            <w:pPr>
              <w:spacing w:line="351" w:lineRule="exact"/>
              <w:ind w:firstLineChars="200" w:firstLine="361"/>
              <w:rPr>
                <w:rStyle w:val="NormalCharacter"/>
                <w:rFonts w:ascii="宋体"/>
                <w:kern w:val="0"/>
                <w:sz w:val="18"/>
                <w:szCs w:val="18"/>
              </w:rPr>
            </w:pPr>
            <w:r>
              <w:rPr>
                <w:rStyle w:val="NormalCharacter"/>
                <w:rFonts w:cs="Times New Roman"/>
                <w:b/>
                <w:bCs/>
                <w:sz w:val="18"/>
                <w:szCs w:val="18"/>
              </w:rPr>
              <w:lastRenderedPageBreak/>
              <w:t>（一）财务会计</w:t>
            </w:r>
            <w:r>
              <w:rPr>
                <w:rStyle w:val="NormalCharacter"/>
                <w:rFonts w:ascii="宋体"/>
                <w:kern w:val="0"/>
                <w:sz w:val="18"/>
                <w:szCs w:val="18"/>
              </w:rPr>
              <w:t xml:space="preserve"> </w:t>
            </w:r>
          </w:p>
          <w:p w14:paraId="579A1DBF"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1.</w:t>
            </w:r>
            <w:r>
              <w:rPr>
                <w:rStyle w:val="NormalCharacter"/>
                <w:rFonts w:hAnsi="Calibri" w:hint="eastAsia"/>
                <w:kern w:val="0"/>
                <w:sz w:val="18"/>
                <w:szCs w:val="18"/>
              </w:rPr>
              <w:t>总论：财务会计报告的目标、会计基本假设与会计基础、会计信息质量要求、会计要素及其确认与计量。</w:t>
            </w:r>
          </w:p>
          <w:p w14:paraId="226979A7"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2.</w:t>
            </w:r>
            <w:r>
              <w:rPr>
                <w:rStyle w:val="NormalCharacter"/>
                <w:rFonts w:hAnsi="Calibri"/>
                <w:kern w:val="0"/>
                <w:sz w:val="18"/>
                <w:szCs w:val="18"/>
              </w:rPr>
              <w:t xml:space="preserve">金融资产：各类金融资产确认、计量以及相关的会计处理。 </w:t>
            </w:r>
          </w:p>
          <w:p w14:paraId="1D462A2D"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3</w:t>
            </w:r>
            <w:r>
              <w:rPr>
                <w:rStyle w:val="NormalCharacter"/>
                <w:rFonts w:hAnsi="Calibri"/>
                <w:kern w:val="0"/>
                <w:sz w:val="18"/>
                <w:szCs w:val="18"/>
              </w:rPr>
              <w:t>.存货：存货的含义和分类；存货入账价值的确定、存货发出计价方法、存货跌价准备计提方法、存货期末计价方法以及相关会计处理。</w:t>
            </w:r>
          </w:p>
          <w:p w14:paraId="3E248103"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4</w:t>
            </w:r>
            <w:r>
              <w:rPr>
                <w:rStyle w:val="NormalCharacter"/>
                <w:rFonts w:hAnsi="Calibri"/>
                <w:kern w:val="0"/>
                <w:sz w:val="18"/>
                <w:szCs w:val="18"/>
              </w:rPr>
              <w:t>.长期股权投资：长期股权投资成本法和权益法的核算</w:t>
            </w:r>
            <w:r>
              <w:rPr>
                <w:rStyle w:val="NormalCharacter"/>
                <w:rFonts w:hAnsi="Calibri" w:hint="eastAsia"/>
                <w:kern w:val="0"/>
                <w:sz w:val="18"/>
                <w:szCs w:val="18"/>
              </w:rPr>
              <w:t>以及相关会计处理</w:t>
            </w:r>
            <w:r>
              <w:rPr>
                <w:rStyle w:val="NormalCharacter"/>
                <w:rFonts w:hAnsi="Calibri"/>
                <w:kern w:val="0"/>
                <w:sz w:val="18"/>
                <w:szCs w:val="18"/>
              </w:rPr>
              <w:t>。</w:t>
            </w:r>
          </w:p>
          <w:p w14:paraId="06016EE4"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5</w:t>
            </w:r>
            <w:r>
              <w:rPr>
                <w:rStyle w:val="NormalCharacter"/>
                <w:rFonts w:hAnsi="Calibri"/>
                <w:kern w:val="0"/>
                <w:sz w:val="18"/>
                <w:szCs w:val="18"/>
              </w:rPr>
              <w:t>.固定资产：固定资产的确认、初始计量、后续计量、处置以及相关会计处理。</w:t>
            </w:r>
          </w:p>
          <w:p w14:paraId="55DEA63A"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6.无形资产：无形</w:t>
            </w:r>
            <w:r>
              <w:rPr>
                <w:rStyle w:val="NormalCharacter"/>
                <w:rFonts w:hAnsi="Calibri"/>
                <w:kern w:val="0"/>
                <w:sz w:val="18"/>
                <w:szCs w:val="18"/>
              </w:rPr>
              <w:t>资产的确认、初始计量、后续计量、处置以及相关会计处理。</w:t>
            </w:r>
          </w:p>
          <w:p w14:paraId="6D024B0B"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7</w:t>
            </w:r>
            <w:r>
              <w:rPr>
                <w:rStyle w:val="NormalCharacter"/>
                <w:rFonts w:hAnsi="Calibri"/>
                <w:kern w:val="0"/>
                <w:sz w:val="18"/>
                <w:szCs w:val="18"/>
              </w:rPr>
              <w:t>.负债：流动负债、非流动负债的含义和会计处理。</w:t>
            </w:r>
          </w:p>
          <w:p w14:paraId="315D6629"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8</w:t>
            </w:r>
            <w:r>
              <w:rPr>
                <w:rStyle w:val="NormalCharacter"/>
                <w:rFonts w:hAnsi="Calibri"/>
                <w:kern w:val="0"/>
                <w:sz w:val="18"/>
                <w:szCs w:val="18"/>
              </w:rPr>
              <w:t>.收入、费用和利润：收入、费用和利润的确认原则和计量标准的掌握和运用情况，运用收入、费用和利润的基本原理解决实际问题的能力。</w:t>
            </w:r>
          </w:p>
          <w:p w14:paraId="207684BD"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9.财务报告：资产负债表、利润表、现金流量表各项目的构成及编制。</w:t>
            </w:r>
          </w:p>
          <w:p w14:paraId="2E39B89D"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10</w:t>
            </w:r>
            <w:r>
              <w:rPr>
                <w:rStyle w:val="NormalCharacter"/>
                <w:rFonts w:hAnsi="Calibri"/>
                <w:kern w:val="0"/>
                <w:sz w:val="18"/>
                <w:szCs w:val="18"/>
              </w:rPr>
              <w:t>.</w:t>
            </w:r>
            <w:r>
              <w:rPr>
                <w:rStyle w:val="NormalCharacter"/>
                <w:rFonts w:hAnsi="Calibri" w:hint="eastAsia"/>
                <w:kern w:val="0"/>
                <w:sz w:val="18"/>
                <w:szCs w:val="18"/>
              </w:rPr>
              <w:t>会计调整：资产负债表日后调整事项、非调整事项</w:t>
            </w:r>
            <w:r>
              <w:rPr>
                <w:rStyle w:val="NormalCharacter"/>
                <w:rFonts w:hAnsi="Calibri"/>
                <w:kern w:val="0"/>
                <w:sz w:val="18"/>
                <w:szCs w:val="18"/>
              </w:rPr>
              <w:t>的掌握和运用情况，运用相关原则解决实际问题的能力</w:t>
            </w:r>
            <w:r>
              <w:rPr>
                <w:rStyle w:val="NormalCharacter"/>
                <w:rFonts w:hAnsi="Calibri" w:hint="eastAsia"/>
                <w:kern w:val="0"/>
                <w:sz w:val="18"/>
                <w:szCs w:val="18"/>
              </w:rPr>
              <w:t>；</w:t>
            </w:r>
            <w:r>
              <w:rPr>
                <w:rStyle w:val="NormalCharacter"/>
                <w:rFonts w:hAnsi="Calibri"/>
                <w:kern w:val="0"/>
                <w:sz w:val="18"/>
                <w:szCs w:val="18"/>
              </w:rPr>
              <w:t>对会计政策、会计估计变更和差错更正的掌握和运用情况，运用相关原则解决实际问题的能力。</w:t>
            </w:r>
          </w:p>
          <w:p w14:paraId="0A4F9473"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参考书目：</w:t>
            </w:r>
            <w:r>
              <w:rPr>
                <w:rStyle w:val="NormalCharacter"/>
                <w:rFonts w:cs="Times New Roman"/>
                <w:b/>
                <w:bCs/>
                <w:sz w:val="18"/>
                <w:szCs w:val="18"/>
              </w:rPr>
              <w:t xml:space="preserve">  </w:t>
            </w:r>
          </w:p>
          <w:p w14:paraId="02804ECF" w14:textId="370DDC8A" w:rsidR="0019539C" w:rsidRDefault="00000000">
            <w:pPr>
              <w:ind w:firstLineChars="200" w:firstLine="360"/>
              <w:jc w:val="left"/>
              <w:rPr>
                <w:rStyle w:val="NormalCharacter"/>
                <w:rFonts w:ascii="宋体" w:hAnsi="宋体" w:hint="eastAsia"/>
                <w:sz w:val="18"/>
                <w:szCs w:val="18"/>
              </w:rPr>
            </w:pPr>
            <w:r>
              <w:rPr>
                <w:rStyle w:val="NormalCharacter"/>
                <w:rFonts w:ascii="宋体" w:hAnsi="宋体" w:hint="eastAsia"/>
                <w:sz w:val="18"/>
                <w:szCs w:val="18"/>
              </w:rPr>
              <w:t>2024年中级会计资格考试辅导教材《中级会计实务》，2024年，财政部会计财务评价中心编，经济科学出版社</w:t>
            </w:r>
          </w:p>
          <w:p w14:paraId="65948050"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（二）财务管理</w:t>
            </w:r>
          </w:p>
          <w:p w14:paraId="590A8362" w14:textId="05F4F475"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1.财务管理的价值观念：</w:t>
            </w:r>
            <w:r>
              <w:rPr>
                <w:rStyle w:val="NormalCharacter"/>
                <w:rFonts w:hAnsi="Calibri" w:hint="eastAsia"/>
                <w:kern w:val="0"/>
                <w:sz w:val="18"/>
                <w:szCs w:val="18"/>
              </w:rPr>
              <w:t>资金时间价值</w:t>
            </w:r>
            <w:r>
              <w:rPr>
                <w:rStyle w:val="NormalCharacter"/>
                <w:rFonts w:hAnsi="Calibri"/>
                <w:kern w:val="0"/>
                <w:sz w:val="18"/>
                <w:szCs w:val="18"/>
              </w:rPr>
              <w:t>的计算</w:t>
            </w:r>
            <w:r>
              <w:rPr>
                <w:rStyle w:val="NormalCharacter"/>
                <w:rFonts w:hAnsi="Calibri" w:hint="eastAsia"/>
                <w:kern w:val="0"/>
                <w:sz w:val="18"/>
                <w:szCs w:val="18"/>
              </w:rPr>
              <w:t>与分析</w:t>
            </w:r>
            <w:r w:rsidR="004B60CB">
              <w:rPr>
                <w:rStyle w:val="NormalCharacter"/>
                <w:rFonts w:hAnsi="Calibri" w:hint="eastAsia"/>
                <w:kern w:val="0"/>
                <w:sz w:val="18"/>
                <w:szCs w:val="18"/>
              </w:rPr>
              <w:t>、</w:t>
            </w:r>
            <w:r>
              <w:rPr>
                <w:rStyle w:val="NormalCharacter"/>
                <w:rFonts w:hAnsi="Calibri" w:hint="eastAsia"/>
                <w:kern w:val="0"/>
                <w:sz w:val="18"/>
                <w:szCs w:val="18"/>
              </w:rPr>
              <w:t>投资风险价值的衡量与运用。</w:t>
            </w:r>
          </w:p>
          <w:p w14:paraId="46C02D32"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2.长期筹资决策：资本结构、个别资本成本、综合资本成本、经营杠杆系数、财务杠杆系数、资本决策方法。</w:t>
            </w:r>
          </w:p>
          <w:p w14:paraId="487EB118" w14:textId="77777777" w:rsidR="0019539C" w:rsidRDefault="00000000">
            <w:pPr>
              <w:pStyle w:val="PlainText"/>
              <w:ind w:leftChars="170" w:left="357"/>
              <w:rPr>
                <w:rStyle w:val="NormalCharacter"/>
                <w:rFonts w:hAnsi="Calibri"/>
                <w:kern w:val="0"/>
                <w:sz w:val="18"/>
                <w:szCs w:val="18"/>
              </w:rPr>
            </w:pPr>
            <w:r>
              <w:rPr>
                <w:rStyle w:val="NormalCharacter"/>
                <w:rFonts w:hAnsi="Calibri"/>
                <w:kern w:val="0"/>
                <w:sz w:val="18"/>
                <w:szCs w:val="18"/>
              </w:rPr>
              <w:t>3.投资决策：项目投资相关概念、现金流量的估算、净现金流量的含义与计算方法；非折现评价指标的含义、特点和计算方法、折现评价指标的含义、特点和计算方法、项目投资决策评价指标的运用。</w:t>
            </w:r>
          </w:p>
          <w:p w14:paraId="0C19D295" w14:textId="2152DF02"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4.营运资金管理：短期资产管理、短期筹资管理。</w:t>
            </w:r>
          </w:p>
          <w:p w14:paraId="6CAE7696"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hint="eastAsia"/>
                <w:kern w:val="0"/>
                <w:sz w:val="18"/>
                <w:szCs w:val="18"/>
              </w:rPr>
              <w:t>5.财务分析：偿债能力、营运能力、盈利能力及财务状况的综合分析。</w:t>
            </w:r>
          </w:p>
          <w:p w14:paraId="75904F58"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参考书目：</w:t>
            </w:r>
            <w:r>
              <w:rPr>
                <w:rStyle w:val="NormalCharacter"/>
                <w:rFonts w:cs="Times New Roman"/>
                <w:b/>
                <w:bCs/>
                <w:sz w:val="18"/>
                <w:szCs w:val="18"/>
              </w:rPr>
              <w:t xml:space="preserve">  </w:t>
            </w:r>
          </w:p>
          <w:p w14:paraId="67E25FDE" w14:textId="0342138A" w:rsidR="0019539C" w:rsidRDefault="00000000">
            <w:pPr>
              <w:ind w:firstLineChars="200" w:firstLine="360"/>
              <w:jc w:val="left"/>
              <w:rPr>
                <w:rStyle w:val="NormalCharacter"/>
                <w:rFonts w:ascii="宋体" w:hAnsi="宋体" w:hint="eastAsia"/>
                <w:sz w:val="18"/>
                <w:szCs w:val="18"/>
              </w:rPr>
            </w:pPr>
            <w:r>
              <w:rPr>
                <w:rStyle w:val="NormalCharacter"/>
                <w:rFonts w:ascii="宋体" w:hAnsi="宋体" w:hint="eastAsia"/>
                <w:sz w:val="18"/>
                <w:szCs w:val="18"/>
              </w:rPr>
              <w:t>2024年中级会计资格考试辅导教材《财务管理》，2024年，财政部会计财务评价中心编，经济科学出版社</w:t>
            </w:r>
          </w:p>
          <w:p w14:paraId="630D6B47" w14:textId="77777777" w:rsidR="0019539C" w:rsidRDefault="0019539C">
            <w:pPr>
              <w:ind w:firstLineChars="200" w:firstLine="360"/>
              <w:jc w:val="left"/>
              <w:rPr>
                <w:rStyle w:val="NormalCharacter"/>
                <w:rFonts w:ascii="宋体" w:hAnsi="宋体" w:hint="eastAsia"/>
                <w:sz w:val="18"/>
                <w:szCs w:val="18"/>
              </w:rPr>
            </w:pPr>
          </w:p>
          <w:p w14:paraId="11AC1143"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（三）成本与管理会计</w:t>
            </w:r>
          </w:p>
          <w:p w14:paraId="0AD947ED" w14:textId="6C59D222"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lastRenderedPageBreak/>
              <w:t>1.产品成本核算方法：产品成本计算概述</w:t>
            </w:r>
            <w:r w:rsidR="004B60CB">
              <w:rPr>
                <w:rStyle w:val="NormalCharacter"/>
                <w:rFonts w:hAnsi="Calibri" w:hint="eastAsia"/>
                <w:kern w:val="0"/>
                <w:sz w:val="18"/>
                <w:szCs w:val="18"/>
              </w:rPr>
              <w:t>、</w:t>
            </w:r>
            <w:r>
              <w:rPr>
                <w:rStyle w:val="NormalCharacter"/>
                <w:rFonts w:hAnsi="Calibri"/>
                <w:kern w:val="0"/>
                <w:sz w:val="18"/>
                <w:szCs w:val="18"/>
              </w:rPr>
              <w:t>成本的归集与分配</w:t>
            </w:r>
            <w:r w:rsidR="004B60CB">
              <w:rPr>
                <w:rStyle w:val="NormalCharacter"/>
                <w:rFonts w:hAnsi="Calibri" w:hint="eastAsia"/>
                <w:kern w:val="0"/>
                <w:sz w:val="18"/>
                <w:szCs w:val="18"/>
              </w:rPr>
              <w:t>、</w:t>
            </w:r>
            <w:r>
              <w:rPr>
                <w:rStyle w:val="NormalCharacter"/>
                <w:rFonts w:hAnsi="Calibri"/>
                <w:kern w:val="0"/>
                <w:sz w:val="18"/>
                <w:szCs w:val="18"/>
              </w:rPr>
              <w:t>产品成本计算的品种法</w:t>
            </w:r>
            <w:r w:rsidR="004B60CB">
              <w:rPr>
                <w:rStyle w:val="NormalCharacter"/>
                <w:rFonts w:hAnsi="Calibri" w:hint="eastAsia"/>
                <w:kern w:val="0"/>
                <w:sz w:val="18"/>
                <w:szCs w:val="18"/>
              </w:rPr>
              <w:t>、</w:t>
            </w:r>
            <w:r>
              <w:rPr>
                <w:rStyle w:val="NormalCharacter"/>
                <w:rFonts w:hAnsi="Calibri"/>
                <w:kern w:val="0"/>
                <w:sz w:val="18"/>
                <w:szCs w:val="18"/>
              </w:rPr>
              <w:t>产品成本计算的分步法。</w:t>
            </w:r>
          </w:p>
          <w:p w14:paraId="1D265D03" w14:textId="2EB56BDA"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2.成本分析与成本管理：成本性态分析</w:t>
            </w:r>
            <w:r w:rsidR="004B60CB">
              <w:rPr>
                <w:rStyle w:val="NormalCharacter"/>
                <w:rFonts w:hAnsi="Calibri" w:hint="eastAsia"/>
                <w:kern w:val="0"/>
                <w:sz w:val="18"/>
                <w:szCs w:val="18"/>
              </w:rPr>
              <w:t>、</w:t>
            </w:r>
            <w:r>
              <w:rPr>
                <w:rStyle w:val="NormalCharacter"/>
                <w:rFonts w:hAnsi="Calibri"/>
                <w:kern w:val="0"/>
                <w:sz w:val="18"/>
                <w:szCs w:val="18"/>
              </w:rPr>
              <w:t>变动成本法。</w:t>
            </w:r>
          </w:p>
          <w:p w14:paraId="51788F43"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3.本量利分析：本量利分析概念、本量利分析应用。</w:t>
            </w:r>
          </w:p>
          <w:p w14:paraId="143FBC0E" w14:textId="38D0CF63"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4.经营决策分析：经营决策分析的基本方法</w:t>
            </w:r>
            <w:r w:rsidR="004B60CB">
              <w:rPr>
                <w:rStyle w:val="NormalCharacter"/>
                <w:rFonts w:hAnsi="Calibri" w:hint="eastAsia"/>
                <w:kern w:val="0"/>
                <w:sz w:val="18"/>
                <w:szCs w:val="18"/>
              </w:rPr>
              <w:t>、</w:t>
            </w:r>
            <w:r>
              <w:rPr>
                <w:rStyle w:val="NormalCharacter"/>
                <w:rFonts w:hAnsi="Calibri"/>
                <w:kern w:val="0"/>
                <w:sz w:val="18"/>
                <w:szCs w:val="18"/>
              </w:rPr>
              <w:t>经营决策中的成本概念运用</w:t>
            </w:r>
            <w:r w:rsidR="004B60CB">
              <w:rPr>
                <w:rStyle w:val="NormalCharacter"/>
                <w:rFonts w:hAnsi="Calibri" w:hint="eastAsia"/>
                <w:kern w:val="0"/>
                <w:sz w:val="18"/>
                <w:szCs w:val="18"/>
              </w:rPr>
              <w:t>、</w:t>
            </w:r>
            <w:r>
              <w:rPr>
                <w:rStyle w:val="NormalCharacter"/>
                <w:rFonts w:hAnsi="Calibri"/>
                <w:kern w:val="0"/>
                <w:sz w:val="18"/>
                <w:szCs w:val="18"/>
              </w:rPr>
              <w:t>经营决策方法的实际应用。</w:t>
            </w:r>
          </w:p>
          <w:p w14:paraId="74EECFF2"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参考书目：</w:t>
            </w:r>
            <w:r>
              <w:rPr>
                <w:rStyle w:val="NormalCharacter"/>
                <w:rFonts w:cs="Times New Roman"/>
                <w:b/>
                <w:bCs/>
                <w:sz w:val="18"/>
                <w:szCs w:val="18"/>
              </w:rPr>
              <w:t xml:space="preserve">  </w:t>
            </w:r>
          </w:p>
          <w:p w14:paraId="72EA910B" w14:textId="77777777" w:rsidR="0019539C" w:rsidRDefault="00000000">
            <w:pPr>
              <w:ind w:firstLineChars="200" w:firstLine="360"/>
              <w:jc w:val="left"/>
              <w:rPr>
                <w:rStyle w:val="NormalCharacter"/>
                <w:sz w:val="18"/>
                <w:szCs w:val="18"/>
              </w:rPr>
            </w:pPr>
            <w:r>
              <w:rPr>
                <w:rStyle w:val="NormalCharacter"/>
                <w:sz w:val="18"/>
                <w:szCs w:val="18"/>
              </w:rPr>
              <w:t>《成本管理会计》</w:t>
            </w:r>
            <w:r>
              <w:rPr>
                <w:rStyle w:val="NormalCharacter"/>
                <w:rFonts w:hint="eastAsia"/>
                <w:sz w:val="18"/>
                <w:szCs w:val="18"/>
              </w:rPr>
              <w:t>第</w:t>
            </w:r>
            <w:r w:rsidRPr="004B60CB">
              <w:rPr>
                <w:rStyle w:val="NormalCharacter"/>
                <w:rFonts w:ascii="Times New Roman" w:hAnsi="Times New Roman" w:cs="Times New Roman"/>
                <w:sz w:val="18"/>
                <w:szCs w:val="18"/>
              </w:rPr>
              <w:t>5</w:t>
            </w:r>
            <w:r w:rsidRPr="004B60CB">
              <w:rPr>
                <w:rStyle w:val="NormalCharacter"/>
                <w:rFonts w:ascii="Times New Roman" w:hAnsi="Times New Roman" w:cs="Times New Roman"/>
                <w:sz w:val="18"/>
                <w:szCs w:val="18"/>
              </w:rPr>
              <w:t>版，</w:t>
            </w:r>
            <w:r w:rsidRPr="004B60CB">
              <w:rPr>
                <w:rStyle w:val="NormalCharacter"/>
                <w:rFonts w:ascii="Times New Roman" w:hAnsi="Times New Roman" w:cs="Times New Roman"/>
                <w:sz w:val="18"/>
                <w:szCs w:val="18"/>
              </w:rPr>
              <w:t>2021</w:t>
            </w:r>
            <w:r>
              <w:rPr>
                <w:rStyle w:val="NormalCharacter"/>
                <w:rFonts w:hint="eastAsia"/>
                <w:sz w:val="18"/>
                <w:szCs w:val="18"/>
              </w:rPr>
              <w:t>年，</w:t>
            </w:r>
            <w:r>
              <w:rPr>
                <w:rStyle w:val="NormalCharacter"/>
                <w:sz w:val="18"/>
                <w:szCs w:val="18"/>
              </w:rPr>
              <w:t>崔国萍主编</w:t>
            </w:r>
            <w:r>
              <w:rPr>
                <w:rStyle w:val="NormalCharacter"/>
                <w:rFonts w:hint="eastAsia"/>
                <w:sz w:val="18"/>
                <w:szCs w:val="18"/>
              </w:rPr>
              <w:t>，</w:t>
            </w:r>
            <w:r>
              <w:rPr>
                <w:rStyle w:val="NormalCharacter"/>
                <w:sz w:val="18"/>
                <w:szCs w:val="18"/>
              </w:rPr>
              <w:t>机械工业出版社</w:t>
            </w:r>
          </w:p>
          <w:p w14:paraId="02E05F12"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（四）审计</w:t>
            </w:r>
          </w:p>
          <w:p w14:paraId="1DAAB3C2" w14:textId="6C7E0CD1" w:rsidR="0019539C" w:rsidRDefault="00000000">
            <w:pPr>
              <w:pStyle w:val="UserStyle4"/>
              <w:ind w:firstLine="360"/>
              <w:rPr>
                <w:rStyle w:val="NormalCharacter"/>
                <w:rFonts w:ascii="宋体"/>
                <w:kern w:val="0"/>
                <w:sz w:val="18"/>
                <w:szCs w:val="18"/>
              </w:rPr>
            </w:pPr>
            <w:r>
              <w:rPr>
                <w:rStyle w:val="NormalCharacter"/>
                <w:rFonts w:ascii="宋体"/>
                <w:kern w:val="0"/>
                <w:sz w:val="18"/>
                <w:szCs w:val="18"/>
              </w:rPr>
              <w:t>1.审计概述：审计的定义和特征、审计的职能和作用、审计的分类</w:t>
            </w:r>
            <w:r w:rsidR="004B60CB">
              <w:rPr>
                <w:rStyle w:val="NormalCharacter"/>
                <w:rFonts w:ascii="宋体" w:hint="eastAsia"/>
                <w:kern w:val="0"/>
                <w:sz w:val="18"/>
                <w:szCs w:val="18"/>
              </w:rPr>
              <w:t>、</w:t>
            </w:r>
            <w:r>
              <w:rPr>
                <w:rStyle w:val="NormalCharacter"/>
                <w:rFonts w:ascii="宋体"/>
                <w:kern w:val="0"/>
                <w:sz w:val="18"/>
                <w:szCs w:val="18"/>
              </w:rPr>
              <w:t xml:space="preserve">审计准则、职业道德和法律责任。 </w:t>
            </w:r>
          </w:p>
          <w:p w14:paraId="1A7C0438" w14:textId="3FDD5D27"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2.财务报表审计的核心概念：审计目标、重要性、审计风险、审计证据、审计程序。</w:t>
            </w:r>
          </w:p>
          <w:p w14:paraId="7CF2412C" w14:textId="77777777" w:rsidR="0019539C" w:rsidRDefault="00000000">
            <w:pPr>
              <w:pStyle w:val="PlainText"/>
              <w:ind w:firstLineChars="200" w:firstLine="360"/>
              <w:rPr>
                <w:rStyle w:val="NormalCharacter"/>
                <w:rFonts w:hAnsi="Calibri"/>
                <w:kern w:val="0"/>
                <w:sz w:val="18"/>
                <w:szCs w:val="18"/>
              </w:rPr>
            </w:pPr>
            <w:r>
              <w:rPr>
                <w:rStyle w:val="NormalCharacter"/>
                <w:rFonts w:hAnsi="Calibri"/>
                <w:kern w:val="0"/>
                <w:sz w:val="18"/>
                <w:szCs w:val="18"/>
              </w:rPr>
              <w:t>3.财务报表审计的思路和步骤：风险导向审计的基本思路、风险评估、</w:t>
            </w:r>
            <w:r>
              <w:rPr>
                <w:rStyle w:val="NormalCharacter"/>
                <w:rFonts w:hAnsi="Calibri"/>
                <w:kern w:val="0"/>
                <w:sz w:val="18"/>
                <w:szCs w:val="18"/>
              </w:rPr>
              <w:t> </w:t>
            </w:r>
            <w:r>
              <w:rPr>
                <w:rStyle w:val="NormalCharacter"/>
                <w:rFonts w:hAnsi="Calibri"/>
                <w:kern w:val="0"/>
                <w:sz w:val="18"/>
                <w:szCs w:val="18"/>
              </w:rPr>
              <w:t>控制测试、实质性程序。</w:t>
            </w:r>
          </w:p>
          <w:p w14:paraId="1FB39ACB" w14:textId="77777777" w:rsidR="0019539C" w:rsidRDefault="00000000">
            <w:pPr>
              <w:pStyle w:val="PlainText"/>
              <w:ind w:leftChars="170" w:left="357"/>
              <w:rPr>
                <w:rStyle w:val="NormalCharacter"/>
                <w:rFonts w:hAnsi="Calibri"/>
                <w:kern w:val="0"/>
                <w:sz w:val="18"/>
                <w:szCs w:val="18"/>
              </w:rPr>
            </w:pPr>
            <w:r>
              <w:rPr>
                <w:rStyle w:val="NormalCharacter"/>
                <w:rFonts w:hAnsi="Calibri"/>
                <w:kern w:val="0"/>
                <w:sz w:val="18"/>
                <w:szCs w:val="18"/>
              </w:rPr>
              <w:t>4.主要业务循环的审计：销售与收款循环的审计、采购与付款循环的审计、生产与职工薪酬循环的审计、筹资与投资循环的审计、货币资金与特殊项目的审计。</w:t>
            </w:r>
          </w:p>
          <w:p w14:paraId="78307593" w14:textId="77777777" w:rsidR="0019539C" w:rsidRDefault="00000000">
            <w:pPr>
              <w:ind w:firstLineChars="200" w:firstLine="360"/>
              <w:rPr>
                <w:rStyle w:val="NormalCharacter"/>
                <w:rFonts w:ascii="宋体"/>
                <w:kern w:val="0"/>
                <w:sz w:val="18"/>
                <w:szCs w:val="18"/>
              </w:rPr>
            </w:pPr>
            <w:r>
              <w:rPr>
                <w:rStyle w:val="NormalCharacter"/>
                <w:rFonts w:ascii="宋体"/>
                <w:kern w:val="0"/>
                <w:sz w:val="18"/>
                <w:szCs w:val="18"/>
              </w:rPr>
              <w:t>5.审计报告：审计意见的形成和类型、无保留意见审计报告的结构和内容、非无保留意见审计报告的结构和内容。</w:t>
            </w:r>
          </w:p>
          <w:p w14:paraId="62E2A3B3" w14:textId="77777777" w:rsidR="0019539C" w:rsidRDefault="00000000">
            <w:pPr>
              <w:spacing w:line="351" w:lineRule="exact"/>
              <w:ind w:firstLineChars="200" w:firstLine="361"/>
              <w:rPr>
                <w:rStyle w:val="NormalCharacter"/>
                <w:rFonts w:cs="Times New Roman"/>
                <w:b/>
                <w:bCs/>
                <w:sz w:val="18"/>
                <w:szCs w:val="18"/>
              </w:rPr>
            </w:pPr>
            <w:r>
              <w:rPr>
                <w:rStyle w:val="NormalCharacter"/>
                <w:rFonts w:cs="Times New Roman"/>
                <w:b/>
                <w:bCs/>
                <w:sz w:val="18"/>
                <w:szCs w:val="18"/>
              </w:rPr>
              <w:t>参考书目：</w:t>
            </w:r>
            <w:r>
              <w:rPr>
                <w:rStyle w:val="NormalCharacter"/>
                <w:rFonts w:cs="Times New Roman"/>
                <w:b/>
                <w:bCs/>
                <w:sz w:val="18"/>
                <w:szCs w:val="18"/>
              </w:rPr>
              <w:t xml:space="preserve">  </w:t>
            </w:r>
          </w:p>
          <w:p w14:paraId="2C385E75" w14:textId="77777777" w:rsidR="0019539C" w:rsidRDefault="00000000">
            <w:pPr>
              <w:pStyle w:val="PlainText"/>
              <w:ind w:firstLineChars="200" w:firstLine="360"/>
              <w:rPr>
                <w:rStyle w:val="NormalCharacter"/>
                <w:rFonts w:hAnsi="宋体" w:hint="eastAsia"/>
                <w:sz w:val="18"/>
                <w:szCs w:val="18"/>
              </w:rPr>
            </w:pPr>
            <w:r>
              <w:rPr>
                <w:rStyle w:val="NormalCharacter"/>
                <w:rFonts w:hAnsi="宋体"/>
                <w:sz w:val="18"/>
                <w:szCs w:val="18"/>
              </w:rPr>
              <w:t>202</w:t>
            </w:r>
            <w:r>
              <w:rPr>
                <w:rStyle w:val="NormalCharacter"/>
                <w:rFonts w:hAnsi="宋体" w:hint="eastAsia"/>
                <w:sz w:val="18"/>
                <w:szCs w:val="18"/>
              </w:rPr>
              <w:t>4</w:t>
            </w:r>
            <w:r>
              <w:rPr>
                <w:rStyle w:val="NormalCharacter"/>
                <w:rFonts w:hAnsi="宋体"/>
                <w:sz w:val="18"/>
                <w:szCs w:val="18"/>
              </w:rPr>
              <w:t>年注册会计师全国统一考试辅导教材</w:t>
            </w:r>
            <w:r>
              <w:rPr>
                <w:rStyle w:val="NormalCharacter"/>
                <w:rFonts w:hAnsi="Calibri"/>
                <w:kern w:val="0"/>
                <w:sz w:val="18"/>
                <w:szCs w:val="18"/>
              </w:rPr>
              <w:t>《审计》</w:t>
            </w:r>
            <w:r>
              <w:rPr>
                <w:rStyle w:val="NormalCharacter"/>
                <w:rFonts w:hAnsi="Calibri" w:hint="eastAsia"/>
                <w:kern w:val="0"/>
                <w:sz w:val="18"/>
                <w:szCs w:val="18"/>
              </w:rPr>
              <w:t>，2024年，</w:t>
            </w:r>
            <w:r>
              <w:rPr>
                <w:rStyle w:val="NormalCharacter"/>
                <w:rFonts w:hAnsi="宋体"/>
                <w:sz w:val="18"/>
                <w:szCs w:val="18"/>
              </w:rPr>
              <w:t>中国注册会计师协会编</w:t>
            </w:r>
            <w:r>
              <w:rPr>
                <w:rStyle w:val="NormalCharacter"/>
                <w:rFonts w:hAnsi="宋体" w:hint="eastAsia"/>
                <w:sz w:val="18"/>
                <w:szCs w:val="18"/>
              </w:rPr>
              <w:t>，</w:t>
            </w:r>
            <w:r>
              <w:rPr>
                <w:rStyle w:val="NormalCharacter"/>
                <w:rFonts w:hAnsi="宋体"/>
                <w:sz w:val="18"/>
                <w:szCs w:val="18"/>
              </w:rPr>
              <w:t>中国财政经济出版社</w:t>
            </w:r>
          </w:p>
        </w:tc>
      </w:tr>
    </w:tbl>
    <w:p w14:paraId="25082CFD" w14:textId="77777777" w:rsidR="0019539C" w:rsidRDefault="00000000">
      <w:pPr>
        <w:rPr>
          <w:rStyle w:val="NormalCharacter"/>
        </w:rPr>
      </w:pPr>
      <w:r>
        <w:rPr>
          <w:rStyle w:val="NormalCharacter"/>
        </w:rPr>
        <w:lastRenderedPageBreak/>
        <w:t xml:space="preserve">                                                                                   </w:t>
      </w:r>
    </w:p>
    <w:sectPr w:rsidR="0019539C">
      <w:pgSz w:w="16838" w:h="11906"/>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japaneseCounting"/>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16cid:durableId="9228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5YTk2NWU3OTRhNTU0YjZlNWE0ODExMjY4YzM0MTgifQ=="/>
  </w:docVars>
  <w:rsids>
    <w:rsidRoot w:val="0019539C"/>
    <w:rsid w:val="00130451"/>
    <w:rsid w:val="0019539C"/>
    <w:rsid w:val="004B60CB"/>
    <w:rsid w:val="008B67B8"/>
    <w:rsid w:val="042070A5"/>
    <w:rsid w:val="050A1C85"/>
    <w:rsid w:val="085D6D45"/>
    <w:rsid w:val="08EC3562"/>
    <w:rsid w:val="117869B4"/>
    <w:rsid w:val="276945FD"/>
    <w:rsid w:val="28FE179A"/>
    <w:rsid w:val="2BD870AF"/>
    <w:rsid w:val="2BE73CE5"/>
    <w:rsid w:val="2EA96895"/>
    <w:rsid w:val="3874713A"/>
    <w:rsid w:val="3C626BCB"/>
    <w:rsid w:val="43EB6A3E"/>
    <w:rsid w:val="4B302AC4"/>
    <w:rsid w:val="4FAF76B6"/>
    <w:rsid w:val="50E7594A"/>
    <w:rsid w:val="5C94026D"/>
    <w:rsid w:val="5E873E9A"/>
    <w:rsid w:val="5F697688"/>
    <w:rsid w:val="6020679B"/>
    <w:rsid w:val="70C6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7D4C"/>
  <w15:docId w15:val="{35E16977-54C3-47C4-973F-5F20D4D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000000"/>
      </w:pBdr>
      <w:tabs>
        <w:tab w:val="center" w:pos="4153"/>
        <w:tab w:val="right" w:pos="8306"/>
      </w:tabs>
      <w:snapToGrid w:val="0"/>
      <w:jc w:val="center"/>
    </w:pPr>
    <w:rPr>
      <w:sz w:val="18"/>
      <w:szCs w:val="18"/>
    </w:rPr>
  </w:style>
  <w:style w:type="character" w:styleId="a8">
    <w:name w:val="Strong"/>
    <w:qFormat/>
    <w:rPr>
      <w:rFonts w:cs="Times New Roman"/>
      <w:b/>
      <w:bCs/>
    </w:rPr>
  </w:style>
  <w:style w:type="character" w:styleId="a9">
    <w:name w:val="Hyperlink"/>
    <w:basedOn w:val="NormalCharacter"/>
    <w:qFormat/>
    <w:rPr>
      <w:color w:val="0000FF"/>
      <w:u w:val="single"/>
    </w:rPr>
  </w:style>
  <w:style w:type="character" w:customStyle="1" w:styleId="NormalCharacter">
    <w:name w:val="NormalCharacter"/>
    <w:qFormat/>
  </w:style>
  <w:style w:type="paragraph" w:customStyle="1" w:styleId="Heading1">
    <w:name w:val="Heading1"/>
    <w:basedOn w:val="a"/>
    <w:link w:val="UserStyle0"/>
    <w:qFormat/>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basedOn w:val="NormalCharacter"/>
    <w:link w:val="Heading1"/>
    <w:qFormat/>
    <w:rPr>
      <w:rFonts w:ascii="宋体" w:hAnsi="宋体" w:cs="宋体"/>
      <w:b/>
      <w:bCs/>
      <w:kern w:val="36"/>
      <w:sz w:val="48"/>
      <w:szCs w:val="48"/>
    </w:rPr>
  </w:style>
  <w:style w:type="character" w:customStyle="1" w:styleId="a7">
    <w:name w:val="页眉 字符"/>
    <w:link w:val="a6"/>
    <w:qFormat/>
    <w:rPr>
      <w:sz w:val="18"/>
      <w:szCs w:val="18"/>
    </w:rPr>
  </w:style>
  <w:style w:type="character" w:customStyle="1" w:styleId="UserStyle2">
    <w:name w:val="UserStyle_2"/>
    <w:link w:val="PlainText"/>
    <w:qFormat/>
    <w:rPr>
      <w:rFonts w:ascii="宋体" w:eastAsia="宋体" w:hAnsi="Courier New"/>
      <w:sz w:val="20"/>
      <w:szCs w:val="20"/>
    </w:rPr>
  </w:style>
  <w:style w:type="paragraph" w:customStyle="1" w:styleId="PlainText">
    <w:name w:val="PlainText"/>
    <w:basedOn w:val="a"/>
    <w:link w:val="UserStyle2"/>
    <w:qFormat/>
    <w:rPr>
      <w:rFonts w:ascii="宋体" w:hAnsi="Courier New"/>
      <w:sz w:val="20"/>
      <w:szCs w:val="20"/>
    </w:rPr>
  </w:style>
  <w:style w:type="character" w:customStyle="1" w:styleId="a5">
    <w:name w:val="页脚 字符"/>
    <w:link w:val="a4"/>
    <w:qFormat/>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szCs w:val="24"/>
    </w:rPr>
  </w:style>
  <w:style w:type="paragraph" w:customStyle="1" w:styleId="179">
    <w:name w:val="179"/>
    <w:basedOn w:val="a"/>
    <w:qFormat/>
    <w:pPr>
      <w:ind w:firstLineChars="200" w:firstLine="420"/>
    </w:pPr>
  </w:style>
  <w:style w:type="paragraph" w:customStyle="1" w:styleId="UserStyle4">
    <w:name w:val="UserStyle_4"/>
    <w:basedOn w:val="a"/>
    <w:qFormat/>
    <w:pPr>
      <w:ind w:firstLineChars="200" w:firstLine="420"/>
    </w:p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倩 张</cp:lastModifiedBy>
  <cp:revision>2</cp:revision>
  <dcterms:created xsi:type="dcterms:W3CDTF">2020-09-14T13:22:00Z</dcterms:created>
  <dcterms:modified xsi:type="dcterms:W3CDTF">2024-08-12T07:49:00Z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38F30E9C1CB64D72B317BFE472AA242F_13</vt:lpwstr>
  </property>
</Properties>
</file>