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5DE3EE">
      <w:pPr>
        <w:spacing w:after="0" w:line="0" w:lineRule="atLeast"/>
        <w:ind w:left="0" w:right="0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51433754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1437D11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船舶货运</w:t>
      </w:r>
    </w:p>
    <w:p w14:paraId="052E5562">
      <w:pPr>
        <w:spacing w:after="0" w:line="0" w:lineRule="atLeast"/>
        <w:ind w:left="0" w:right="0"/>
        <w:contextualSpacing/>
        <w:jc w:val="center"/>
        <w:rPr>
          <w:b/>
          <w:sz w:val="28"/>
          <w:szCs w:val="28"/>
        </w:rPr>
      </w:pPr>
    </w:p>
    <w:p w14:paraId="2B309E6F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</w:rPr>
        <w:t>一、</w:t>
      </w:r>
      <w:r>
        <w:rPr>
          <w:rFonts w:hint="eastAsia" w:ascii="宋体" w:hAnsi="宋体" w:eastAsia="宋体"/>
          <w:szCs w:val="28"/>
          <w:lang w:eastAsia="zh-CN"/>
        </w:rPr>
        <w:t>船舶与货物</w:t>
      </w:r>
    </w:p>
    <w:p w14:paraId="1DFD1ED6">
      <w:pPr>
        <w:pStyle w:val="17"/>
        <w:spacing w:after="0" w:line="0" w:lineRule="atLeast"/>
        <w:ind w:left="0" w:right="0" w:firstLine="0" w:firstLineChars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4AB674D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船舶吃水与排水量；船舶载重线；船舶容重性能；货物积载因数与亏舱率；船舶载货能力核算。</w:t>
      </w:r>
    </w:p>
    <w:p w14:paraId="54B0C3B0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  <w:r>
        <w:rPr>
          <w:b/>
          <w:sz w:val="28"/>
          <w:szCs w:val="28"/>
        </w:rPr>
        <w:t>：</w:t>
      </w:r>
    </w:p>
    <w:p w14:paraId="7F29FFC7">
      <w:pPr>
        <w:widowControl w:val="0"/>
        <w:spacing w:after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 熟练掌握船舶平均吃水与排水量的计算；</w:t>
      </w:r>
    </w:p>
    <w:p w14:paraId="71A2F242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 了解载重线应用；</w:t>
      </w:r>
    </w:p>
    <w:p w14:paraId="628BA5B9">
      <w:pPr>
        <w:adjustRightInd w:val="0"/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理解船舶容重性能及其应用；</w:t>
      </w:r>
    </w:p>
    <w:p w14:paraId="3699F091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掌握货物积载因数与亏舱率的关系，理解积载因数的使用；</w:t>
      </w:r>
    </w:p>
    <w:p w14:paraId="33173B4D">
      <w:pPr>
        <w:widowControl w:val="0"/>
        <w:spacing w:after="0" w:line="240" w:lineRule="auto"/>
        <w:ind w:left="0" w:right="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 熟练掌握船舶载货能力的核算方法。</w:t>
      </w:r>
    </w:p>
    <w:p w14:paraId="25FFDF87">
      <w:pPr>
        <w:pStyle w:val="14"/>
        <w:rPr>
          <w:rFonts w:hint="eastAsia" w:ascii="宋体" w:hAnsi="宋体" w:eastAsia="宋体"/>
          <w:szCs w:val="28"/>
        </w:rPr>
      </w:pPr>
    </w:p>
    <w:p w14:paraId="2011639E">
      <w:pPr>
        <w:pStyle w:val="14"/>
        <w:rPr>
          <w:rFonts w:hint="eastAsia"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二、</w:t>
      </w:r>
      <w:r>
        <w:rPr>
          <w:rFonts w:hint="eastAsia" w:ascii="宋体" w:hAnsi="宋体" w:eastAsia="宋体"/>
          <w:szCs w:val="28"/>
          <w:lang w:eastAsia="zh-CN"/>
        </w:rPr>
        <w:t>包装危险货物运输</w:t>
      </w:r>
    </w:p>
    <w:p w14:paraId="6E402AF2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51419FD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IMDG CODE包装危险货物分类及特性；包装危险货物包装及标志；包装危险货物积载与隔离。</w:t>
      </w:r>
    </w:p>
    <w:p w14:paraId="03EF6226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51D7BC15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充分了解包装危险货物的分类及特性、衡量指标；</w:t>
      </w:r>
    </w:p>
    <w:p w14:paraId="2D4C0A84">
      <w:pPr>
        <w:ind w:left="0"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熟练掌握包装的分类、要求、代码；了解标志的分类及应用；</w:t>
      </w:r>
    </w:p>
    <w:p w14:paraId="0A41C93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数量掌握积载原则、隔离等级、危险货物一览表及EMS、MFAG的使用。</w:t>
      </w:r>
    </w:p>
    <w:p w14:paraId="502BD05B">
      <w:pPr>
        <w:spacing w:after="0" w:line="0" w:lineRule="atLeast"/>
        <w:ind w:left="0" w:right="0"/>
        <w:contextualSpacing/>
        <w:jc w:val="both"/>
        <w:rPr>
          <w:sz w:val="28"/>
          <w:szCs w:val="28"/>
        </w:rPr>
      </w:pPr>
    </w:p>
    <w:p w14:paraId="7ECDA680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三、</w:t>
      </w:r>
      <w:r>
        <w:rPr>
          <w:rFonts w:hint="eastAsia" w:ascii="宋体" w:hAnsi="宋体" w:eastAsia="宋体"/>
          <w:szCs w:val="28"/>
          <w:lang w:eastAsia="zh-CN"/>
        </w:rPr>
        <w:t>固体散装货物运输</w:t>
      </w:r>
    </w:p>
    <w:p w14:paraId="55FD1DEA">
      <w:pPr>
        <w:spacing w:after="0" w:line="0" w:lineRule="atLeast"/>
        <w:ind w:left="0" w:right="0"/>
        <w:contextualSpacing/>
        <w:jc w:val="both"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6A0956F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IMSBC中固体散装货物分类、特性及危险性；固体散货配装原则及要求；Loading Sequence编制；水尺计重计算。</w:t>
      </w:r>
    </w:p>
    <w:p w14:paraId="18516BB0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6330F9E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充分了解A、B、C的特性及运输危险性；</w:t>
      </w:r>
    </w:p>
    <w:p w14:paraId="39A2FF37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．熟练掌握固体散货配载原则及安全装运要求；</w:t>
      </w:r>
    </w:p>
    <w:p w14:paraId="3DB3F69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熟练掌握Loading Sequence的编制原则及注意事项；</w:t>
      </w:r>
    </w:p>
    <w:p w14:paraId="6011D12D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4. 熟练掌握水尺计重的计算方法。</w:t>
      </w:r>
    </w:p>
    <w:p w14:paraId="0F8100BE">
      <w:pPr>
        <w:pStyle w:val="14"/>
        <w:rPr>
          <w:rFonts w:hint="eastAsia" w:ascii="宋体" w:hAnsi="宋体" w:eastAsia="宋体"/>
          <w:szCs w:val="28"/>
        </w:rPr>
      </w:pPr>
    </w:p>
    <w:p w14:paraId="54219487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四、</w:t>
      </w:r>
      <w:r>
        <w:rPr>
          <w:rFonts w:hint="eastAsia" w:ascii="宋体" w:hAnsi="宋体" w:eastAsia="宋体"/>
          <w:szCs w:val="28"/>
          <w:lang w:eastAsia="zh-CN"/>
        </w:rPr>
        <w:t>散装谷物运输</w:t>
      </w:r>
    </w:p>
    <w:p w14:paraId="34055DFA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2C97E46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散装谷物特性及对船舶稳性的影响；散装谷物船舶稳性核算；散装谷物安全装运。</w:t>
      </w:r>
    </w:p>
    <w:p w14:paraId="5D01E2C8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99E653F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1．了解散装谷物的海运特性及其对船舶稳性的影响；</w:t>
      </w:r>
    </w:p>
    <w:p w14:paraId="1CB38D2B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熟练掌握散装谷物船舶稳性核算的方法及其原理；</w:t>
      </w:r>
    </w:p>
    <w:p w14:paraId="0B36417D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3．</w:t>
      </w:r>
      <w:r>
        <w:rPr>
          <w:rFonts w:hint="eastAsia"/>
          <w:sz w:val="28"/>
          <w:szCs w:val="28"/>
        </w:rPr>
        <w:t>理解散装谷物安全装运原则及注意事项。</w:t>
      </w:r>
    </w:p>
    <w:p w14:paraId="7B4DE53E">
      <w:pPr>
        <w:pStyle w:val="14"/>
        <w:rPr>
          <w:rFonts w:hint="eastAsia" w:ascii="宋体" w:hAnsi="宋体" w:eastAsia="宋体"/>
          <w:szCs w:val="28"/>
        </w:rPr>
      </w:pPr>
    </w:p>
    <w:p w14:paraId="67F75820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五、</w:t>
      </w:r>
      <w:r>
        <w:rPr>
          <w:rFonts w:hint="eastAsia" w:ascii="宋体" w:hAnsi="宋体" w:eastAsia="宋体"/>
          <w:szCs w:val="28"/>
          <w:lang w:eastAsia="zh-CN"/>
        </w:rPr>
        <w:t>液体散装货物运输</w:t>
      </w:r>
    </w:p>
    <w:p w14:paraId="628D4543">
      <w:pPr>
        <w:spacing w:after="0" w:line="0" w:lineRule="atLeast"/>
        <w:ind w:left="0" w:right="0"/>
        <w:contextualSpacing/>
        <w:rPr>
          <w:rFonts w:cs="楷体"/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3CF33E39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油船配载图编制；货物装卸计划制定；原油洗舱计划制定；（IBC）散装化学品安全装卸操作要求；货油计量方法和计量误差分析；液化气船安全管理及操作注意事项。</w:t>
      </w:r>
    </w:p>
    <w:p w14:paraId="18ED71DE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65B3E31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熟练掌握油船配载图编制、货物装卸计划制定、原油洗舱计划制定的原则和方法；</w:t>
      </w:r>
    </w:p>
    <w:p w14:paraId="14D1BCF0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充分了解散装化学品、液化气安全装卸操作要求及注意事项；</w:t>
      </w:r>
    </w:p>
    <w:p w14:paraId="6F525138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3. 熟练掌握货油计量方法及误差分析。</w:t>
      </w:r>
    </w:p>
    <w:p w14:paraId="5850560A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5560DD13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ascii="宋体" w:hAnsi="宋体" w:eastAsia="宋体"/>
          <w:szCs w:val="28"/>
        </w:rPr>
        <w:t>六、</w:t>
      </w:r>
      <w:r>
        <w:rPr>
          <w:rFonts w:hint="eastAsia" w:ascii="宋体" w:hAnsi="宋体" w:eastAsia="宋体"/>
          <w:szCs w:val="28"/>
          <w:lang w:eastAsia="zh-CN"/>
        </w:rPr>
        <w:t>集装箱运输</w:t>
      </w:r>
    </w:p>
    <w:p w14:paraId="15A62579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7B6B492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集装箱分类及标志；集装箱船配载图的编制原则及注意事项；集装箱系固。</w:t>
      </w:r>
    </w:p>
    <w:p w14:paraId="01E9D8CD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494C85D7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充分了解集装箱的分类及标识；</w:t>
      </w:r>
    </w:p>
    <w:p w14:paraId="32FCE973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熟练掌握集装箱船配载图的编制流程、编制原则；</w:t>
      </w:r>
    </w:p>
    <w:p w14:paraId="0B112E45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熟练掌握集装箱系固索具、集装箱系固手册、集装箱系固方法。</w:t>
      </w:r>
    </w:p>
    <w:p w14:paraId="0FE81088">
      <w:pPr>
        <w:spacing w:after="0" w:line="0" w:lineRule="atLeast"/>
        <w:ind w:right="0"/>
        <w:contextualSpacing/>
        <w:rPr>
          <w:sz w:val="28"/>
          <w:szCs w:val="28"/>
        </w:rPr>
      </w:pPr>
    </w:p>
    <w:p w14:paraId="0F7780FA">
      <w:pPr>
        <w:pStyle w:val="14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七</w:t>
      </w:r>
      <w:r>
        <w:rPr>
          <w:rFonts w:ascii="宋体" w:hAnsi="宋体" w:eastAsia="宋体"/>
          <w:szCs w:val="28"/>
        </w:rPr>
        <w:t>、</w:t>
      </w:r>
      <w:r>
        <w:rPr>
          <w:rFonts w:hint="eastAsia" w:ascii="宋体" w:hAnsi="宋体" w:eastAsia="宋体"/>
          <w:szCs w:val="28"/>
          <w:lang w:eastAsia="zh-CN"/>
        </w:rPr>
        <w:t>特种货物运输</w:t>
      </w:r>
    </w:p>
    <w:p w14:paraId="0475A81D">
      <w:pPr>
        <w:spacing w:after="0" w:line="0" w:lineRule="atLeast"/>
        <w:ind w:left="0" w:right="0"/>
        <w:contextualSpacing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考试内容</w:t>
      </w:r>
    </w:p>
    <w:p w14:paraId="16A4154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货物单元积载与系固；货物系固手册；重大件货物安全装卸；钢材货物积载与系固；木材甲板货积载与系固。</w:t>
      </w:r>
    </w:p>
    <w:p w14:paraId="00AB9E01">
      <w:pPr>
        <w:spacing w:after="0" w:line="0" w:lineRule="atLeast"/>
        <w:ind w:left="0" w:right="0"/>
        <w:contextualSpacing/>
        <w:jc w:val="both"/>
        <w:rPr>
          <w:b/>
          <w:sz w:val="28"/>
          <w:szCs w:val="28"/>
        </w:rPr>
      </w:pPr>
      <w:r>
        <w:rPr>
          <w:rFonts w:cs="楷体"/>
          <w:b/>
          <w:sz w:val="28"/>
          <w:szCs w:val="28"/>
        </w:rPr>
        <w:t>考试要求</w:t>
      </w:r>
    </w:p>
    <w:p w14:paraId="1FBD6149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1．</w:t>
      </w:r>
      <w:r>
        <w:rPr>
          <w:rFonts w:hint="eastAsia"/>
          <w:sz w:val="28"/>
          <w:szCs w:val="28"/>
        </w:rPr>
        <w:t>熟练掌握顺货物单元积载与系固的原则与方法，尤其是非标准货物单元系固核算；</w:t>
      </w:r>
    </w:p>
    <w:p w14:paraId="7272903E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sz w:val="28"/>
          <w:szCs w:val="28"/>
        </w:rPr>
        <w:t>2．</w:t>
      </w:r>
      <w:r>
        <w:rPr>
          <w:rFonts w:hint="eastAsia"/>
          <w:sz w:val="28"/>
          <w:szCs w:val="28"/>
        </w:rPr>
        <w:t>充分了解货物系固手册的内容及使用方法；</w:t>
      </w:r>
    </w:p>
    <w:p w14:paraId="4624D6E4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充分了解刚才货物积载与系固、木材甲板货积载与系固的原则和方法。</w:t>
      </w:r>
    </w:p>
    <w:p w14:paraId="6C9CE943">
      <w:pPr>
        <w:spacing w:after="0" w:line="0" w:lineRule="atLeast"/>
        <w:ind w:left="0" w:right="0"/>
        <w:contextualSpacing/>
        <w:rPr>
          <w:sz w:val="28"/>
          <w:szCs w:val="28"/>
        </w:rPr>
      </w:pPr>
    </w:p>
    <w:p w14:paraId="4AE876C5">
      <w:pPr>
        <w:numPr>
          <w:ilvl w:val="0"/>
          <w:numId w:val="1"/>
        </w:numPr>
        <w:spacing w:after="0" w:line="0" w:lineRule="atLeast"/>
        <w:ind w:right="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07F6670E">
      <w:pPr>
        <w:ind w:left="0"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《船舶货运》徐邦祯 田佰军  大连海事大学出版社 201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</w:p>
    <w:p w14:paraId="687E8DCB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63823"/>
    <w:multiLevelType w:val="multilevel"/>
    <w:tmpl w:val="3E563823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35D"/>
    <w:rsid w:val="000B5B4D"/>
    <w:rsid w:val="000E4D18"/>
    <w:rsid w:val="0015184F"/>
    <w:rsid w:val="0018682D"/>
    <w:rsid w:val="00193369"/>
    <w:rsid w:val="001B0DE5"/>
    <w:rsid w:val="001B44C9"/>
    <w:rsid w:val="001E20AF"/>
    <w:rsid w:val="001F2DEF"/>
    <w:rsid w:val="001F5ADA"/>
    <w:rsid w:val="00202C56"/>
    <w:rsid w:val="002046C3"/>
    <w:rsid w:val="00223FB4"/>
    <w:rsid w:val="0025612B"/>
    <w:rsid w:val="0029471E"/>
    <w:rsid w:val="003475C9"/>
    <w:rsid w:val="00367B27"/>
    <w:rsid w:val="003D0BC3"/>
    <w:rsid w:val="003D2CB3"/>
    <w:rsid w:val="003D50A4"/>
    <w:rsid w:val="00404160"/>
    <w:rsid w:val="00424EB0"/>
    <w:rsid w:val="004658CD"/>
    <w:rsid w:val="00466143"/>
    <w:rsid w:val="004A7A80"/>
    <w:rsid w:val="00505086"/>
    <w:rsid w:val="005252E9"/>
    <w:rsid w:val="00556183"/>
    <w:rsid w:val="005B5FE4"/>
    <w:rsid w:val="005E1003"/>
    <w:rsid w:val="00665BED"/>
    <w:rsid w:val="006D6BB5"/>
    <w:rsid w:val="006F3DAE"/>
    <w:rsid w:val="006F53EA"/>
    <w:rsid w:val="007125FE"/>
    <w:rsid w:val="0074681C"/>
    <w:rsid w:val="007946F2"/>
    <w:rsid w:val="007C0CC0"/>
    <w:rsid w:val="00804613"/>
    <w:rsid w:val="00834518"/>
    <w:rsid w:val="00842994"/>
    <w:rsid w:val="00872423"/>
    <w:rsid w:val="008A3C0C"/>
    <w:rsid w:val="008D3363"/>
    <w:rsid w:val="008D5C6C"/>
    <w:rsid w:val="008F3B6E"/>
    <w:rsid w:val="008F739B"/>
    <w:rsid w:val="009424D2"/>
    <w:rsid w:val="00947992"/>
    <w:rsid w:val="00961A25"/>
    <w:rsid w:val="009C455B"/>
    <w:rsid w:val="00A33A4F"/>
    <w:rsid w:val="00A57B3E"/>
    <w:rsid w:val="00A62A2B"/>
    <w:rsid w:val="00A64306"/>
    <w:rsid w:val="00A719F7"/>
    <w:rsid w:val="00A74EF2"/>
    <w:rsid w:val="00A76104"/>
    <w:rsid w:val="00A86959"/>
    <w:rsid w:val="00A97B79"/>
    <w:rsid w:val="00AA0C4C"/>
    <w:rsid w:val="00AC3411"/>
    <w:rsid w:val="00AF113B"/>
    <w:rsid w:val="00B25951"/>
    <w:rsid w:val="00B56EFC"/>
    <w:rsid w:val="00BF104C"/>
    <w:rsid w:val="00BF43DE"/>
    <w:rsid w:val="00C0676F"/>
    <w:rsid w:val="00C07903"/>
    <w:rsid w:val="00C13CCB"/>
    <w:rsid w:val="00C20305"/>
    <w:rsid w:val="00C56922"/>
    <w:rsid w:val="00C63B7D"/>
    <w:rsid w:val="00C7040B"/>
    <w:rsid w:val="00C80F18"/>
    <w:rsid w:val="00C92B42"/>
    <w:rsid w:val="00CB624B"/>
    <w:rsid w:val="00CE5369"/>
    <w:rsid w:val="00D04BBD"/>
    <w:rsid w:val="00D27359"/>
    <w:rsid w:val="00DD4B50"/>
    <w:rsid w:val="00DF1538"/>
    <w:rsid w:val="00DF7B2D"/>
    <w:rsid w:val="00E22B42"/>
    <w:rsid w:val="00E3104E"/>
    <w:rsid w:val="00E55197"/>
    <w:rsid w:val="00E61FD4"/>
    <w:rsid w:val="00E8172F"/>
    <w:rsid w:val="00EA1DF9"/>
    <w:rsid w:val="00EC7C0B"/>
    <w:rsid w:val="00EE75E8"/>
    <w:rsid w:val="00F12A38"/>
    <w:rsid w:val="00F258E9"/>
    <w:rsid w:val="00FC54FF"/>
    <w:rsid w:val="00FC6167"/>
    <w:rsid w:val="00FD12BD"/>
    <w:rsid w:val="00FF3583"/>
    <w:rsid w:val="1C736331"/>
    <w:rsid w:val="6DEC1E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ody Text Indent"/>
    <w:basedOn w:val="1"/>
    <w:link w:val="19"/>
    <w:semiHidden/>
    <w:unhideWhenUsed/>
    <w:uiPriority w:val="0"/>
    <w:pPr>
      <w:spacing w:after="120"/>
      <w:ind w:left="420" w:leftChars="200"/>
    </w:pPr>
    <w:rPr>
      <w:rFonts w:cs="Times New Roman"/>
    </w:rPr>
  </w:style>
  <w:style w:type="paragraph" w:styleId="4">
    <w:name w:val="Plain Text"/>
    <w:basedOn w:val="1"/>
    <w:link w:val="21"/>
    <w:uiPriority w:val="0"/>
    <w:pPr>
      <w:widowControl w:val="0"/>
      <w:spacing w:after="0" w:line="240" w:lineRule="auto"/>
      <w:ind w:left="0" w:right="0"/>
      <w:jc w:val="both"/>
    </w:pPr>
    <w:rPr>
      <w:rFonts w:hAnsi="Courier New" w:cs="Times New Roman"/>
      <w:color w:val="auto"/>
      <w:szCs w:val="21"/>
    </w:rPr>
  </w:style>
  <w:style w:type="paragraph" w:styleId="5">
    <w:name w:val="Balloon Text"/>
    <w:basedOn w:val="1"/>
    <w:link w:val="20"/>
    <w:semiHidden/>
    <w:unhideWhenUsed/>
    <w:uiPriority w:val="0"/>
    <w:pPr>
      <w:spacing w:after="0" w:line="240" w:lineRule="auto"/>
    </w:pPr>
    <w:rPr>
      <w:rFonts w:cs="Times New Roman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paragraph" w:styleId="8">
    <w:name w:val="Body Text Indent 3"/>
    <w:basedOn w:val="1"/>
    <w:link w:val="18"/>
    <w:uiPriority w:val="0"/>
    <w:pPr>
      <w:widowControl w:val="0"/>
      <w:tabs>
        <w:tab w:val="left" w:pos="1530"/>
      </w:tabs>
      <w:spacing w:after="0" w:line="240" w:lineRule="auto"/>
      <w:ind w:left="-2" w:leftChars="-1" w:right="0"/>
      <w:jc w:val="both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11">
    <w:name w:val="页眉 Char"/>
    <w:link w:val="7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2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13">
    <w:name w:val="样式1 Char"/>
    <w:link w:val="14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4">
    <w:name w:val="样式1"/>
    <w:basedOn w:val="1"/>
    <w:link w:val="13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5">
    <w:name w:val="页脚 Char"/>
    <w:link w:val="6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6">
    <w:name w:val="Placeholder Text"/>
    <w:semiHidden/>
    <w:uiPriority w:val="99"/>
    <w:rPr>
      <w:color w:val="808080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正文文本缩进 3 Char"/>
    <w:link w:val="8"/>
    <w:uiPriority w:val="0"/>
    <w:rPr>
      <w:kern w:val="2"/>
      <w:sz w:val="24"/>
      <w:szCs w:val="24"/>
    </w:rPr>
  </w:style>
  <w:style w:type="character" w:customStyle="1" w:styleId="19">
    <w:name w:val="正文文本缩进 Char"/>
    <w:link w:val="3"/>
    <w:semiHidden/>
    <w:uiPriority w:val="0"/>
    <w:rPr>
      <w:rFonts w:ascii="宋体" w:hAnsi="宋体" w:cs="宋体"/>
      <w:color w:val="000000"/>
      <w:kern w:val="2"/>
      <w:sz w:val="21"/>
      <w:szCs w:val="22"/>
    </w:rPr>
  </w:style>
  <w:style w:type="character" w:customStyle="1" w:styleId="20">
    <w:name w:val="批注框文本 Char"/>
    <w:link w:val="5"/>
    <w:semiHidden/>
    <w:uiPriority w:val="0"/>
    <w:rPr>
      <w:rFonts w:ascii="宋体" w:hAnsi="宋体" w:cs="宋体"/>
      <w:color w:val="000000"/>
      <w:kern w:val="2"/>
      <w:sz w:val="18"/>
      <w:szCs w:val="18"/>
    </w:rPr>
  </w:style>
  <w:style w:type="character" w:customStyle="1" w:styleId="21">
    <w:name w:val="纯文本 Char"/>
    <w:link w:val="4"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2014-08-30T05:22:00Z</dcterms:created>
  <dc:creator>huoyun</dc:creator>
  <cp:lastModifiedBy>vertesyuan</cp:lastModifiedBy>
  <cp:lastPrinted>2014-08-27T04:20:00Z</cp:lastPrinted>
  <dcterms:modified xsi:type="dcterms:W3CDTF">2024-10-10T06:24:15Z</dcterms:modified>
  <dc:title>2014年数学考研大纲(数学一)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C2BBB25105314D7CBAB899BDEA451C22_13</vt:lpwstr>
  </property>
</Properties>
</file>