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152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3"/>
          <w:position w:val="-1"/>
        </w:rPr>
        <w:t>431</w:t>
      </w:r>
      <w:r>
        <w:rPr>
          <w:rFonts w:ascii="Arial" w:hAnsi="Arial" w:eastAsia="Arial" w:cs="Arial"/>
          <w:sz w:val="33"/>
          <w:szCs w:val="33"/>
          <w:spacing w:val="13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spacing w:val="13"/>
          <w:position w:val="-1"/>
        </w:rPr>
        <w:t>金融学综合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69"/>
        <w:spacing w:before="153" w:line="221" w:lineRule="auto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firstLine="563"/>
        <w:spacing w:before="151" w:line="320" w:lineRule="auto"/>
        <w:jc w:val="both"/>
        <w:rPr/>
      </w:pPr>
      <w:r>
        <w:rPr>
          <w:spacing w:val="5"/>
        </w:rPr>
        <w:t>金融硕士专业学位研究生入学统一考试专业课程考试的考试科目为 </w:t>
      </w:r>
      <w:r>
        <w:rPr>
          <w:spacing w:val="-21"/>
        </w:rPr>
        <w:t>《金融学综</w:t>
      </w:r>
      <w:r>
        <w:rPr>
          <w:spacing w:val="-20"/>
        </w:rPr>
        <w:t>合》，包括《金融学》、《国际金融学》、《商业银</w:t>
      </w:r>
      <w:r>
        <w:rPr>
          <w:spacing w:val="-21"/>
        </w:rPr>
        <w:t>行管理学》</w:t>
      </w:r>
      <w:r>
        <w:rPr>
          <w:spacing w:val="-16"/>
        </w:rPr>
        <w:t>及</w:t>
      </w:r>
      <w:r>
        <w:rPr/>
        <w:t xml:space="preserve"> </w:t>
      </w:r>
      <w:r>
        <w:rPr>
          <w:spacing w:val="-8"/>
        </w:rPr>
        <w:t>《金融市场学》四部分内容。《金融学综合》是金融硕士（</w:t>
      </w:r>
      <w:r>
        <w:rPr>
          <w:rFonts w:ascii="Times New Roman" w:hAnsi="Times New Roman" w:eastAsia="Times New Roman" w:cs="Times New Roman"/>
          <w:spacing w:val="-8"/>
        </w:rPr>
        <w:t>MF</w:t>
      </w:r>
      <w:r>
        <w:rPr>
          <w:spacing w:val="-8"/>
        </w:rPr>
        <w:t>）专业学位</w:t>
      </w:r>
      <w:r>
        <w:rPr>
          <w:spacing w:val="13"/>
        </w:rPr>
        <w:t xml:space="preserve"> </w:t>
      </w:r>
      <w:r>
        <w:rPr>
          <w:spacing w:val="-4"/>
        </w:rPr>
        <w:t>研究生入学统一考试的科目之一。《金融学综合》考试力求反映金融硕士</w:t>
      </w:r>
      <w:r>
        <w:rPr>
          <w:spacing w:val="2"/>
        </w:rPr>
        <w:t xml:space="preserve"> </w:t>
      </w:r>
      <w:r>
        <w:rPr>
          <w:spacing w:val="-4"/>
        </w:rPr>
        <w:t>专业学位的特点，科学、公平、准确、规范地测评考生的基本素质和综合</w:t>
      </w:r>
      <w:r>
        <w:rPr>
          <w:spacing w:val="2"/>
        </w:rPr>
        <w:t xml:space="preserve"> </w:t>
      </w:r>
      <w:r>
        <w:rPr>
          <w:spacing w:val="-4"/>
        </w:rPr>
        <w:t>能力，选拔具有发展潜力的优秀人才入学，为国家的经济建设培养具有良</w:t>
      </w:r>
      <w:r>
        <w:rPr>
          <w:spacing w:val="2"/>
        </w:rPr>
        <w:t xml:space="preserve"> </w:t>
      </w:r>
      <w:r>
        <w:rPr>
          <w:spacing w:val="-4"/>
        </w:rPr>
        <w:t>好职业道德、具有较强分析与解决实际问题能力的高层次、应用型、复合</w:t>
      </w:r>
      <w:r>
        <w:rPr>
          <w:spacing w:val="2"/>
        </w:rPr>
        <w:t xml:space="preserve"> </w:t>
      </w:r>
      <w:r>
        <w:rPr>
          <w:spacing w:val="-2"/>
        </w:rPr>
        <w:t>型的金融专业人才。</w:t>
      </w:r>
    </w:p>
    <w:p>
      <w:pPr>
        <w:pStyle w:val="BodyText"/>
        <w:ind w:left="557"/>
        <w:spacing w:before="41" w:line="221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考试目标</w:t>
      </w:r>
    </w:p>
    <w:p>
      <w:pPr>
        <w:pStyle w:val="BodyText"/>
        <w:ind w:firstLine="562"/>
        <w:spacing w:before="155" w:line="309" w:lineRule="auto"/>
        <w:rPr/>
      </w:pPr>
      <w:r>
        <w:rPr>
          <w:spacing w:val="-4"/>
        </w:rPr>
        <w:t>测试考生对于与金融学、国际金融学、商业银行</w:t>
      </w:r>
      <w:r>
        <w:rPr>
          <w:spacing w:val="-5"/>
        </w:rPr>
        <w:t>管理学和金融市场学</w:t>
      </w:r>
      <w:r>
        <w:rPr/>
        <w:t xml:space="preserve"> </w:t>
      </w:r>
      <w:r>
        <w:rPr>
          <w:spacing w:val="-1"/>
        </w:rPr>
        <w:t>相关的基本概念、基础理论的掌握和运用能力。</w:t>
      </w:r>
    </w:p>
    <w:p>
      <w:pPr>
        <w:ind w:left="566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1"/>
        <w:spacing w:before="156" w:line="221" w:lineRule="auto"/>
        <w:rPr/>
      </w:pPr>
      <w:r>
        <w:rPr>
          <w:b/>
          <w:bCs/>
          <w:spacing w:val="-3"/>
        </w:rPr>
        <w:t>第一部分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金融学</w:t>
      </w:r>
    </w:p>
    <w:p>
      <w:pPr>
        <w:pStyle w:val="BodyText"/>
        <w:ind w:left="583"/>
        <w:spacing w:before="155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货币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）货币的起源与发展</w:t>
      </w:r>
    </w:p>
    <w:p>
      <w:pPr>
        <w:pStyle w:val="BodyText"/>
        <w:ind w:left="569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）货币的职能</w:t>
      </w:r>
    </w:p>
    <w:p>
      <w:pPr>
        <w:pStyle w:val="BodyText"/>
        <w:ind w:left="569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）货币层次与货币流通</w:t>
      </w:r>
    </w:p>
    <w:p>
      <w:pPr>
        <w:pStyle w:val="BodyText"/>
        <w:ind w:left="556" w:right="6463" w:firstLine="13"/>
        <w:spacing w:before="155" w:line="273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）货币制度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利率</w:t>
      </w:r>
    </w:p>
    <w:p>
      <w:pPr>
        <w:pStyle w:val="BodyText"/>
        <w:ind w:left="569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）信用、利息与利率</w:t>
      </w:r>
    </w:p>
    <w:p>
      <w:pPr>
        <w:pStyle w:val="BodyText"/>
        <w:ind w:left="569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）利率的计算</w:t>
      </w:r>
    </w:p>
    <w:p>
      <w:pPr>
        <w:pStyle w:val="BodyText"/>
        <w:ind w:left="569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）利率的决定</w:t>
      </w:r>
    </w:p>
    <w:p>
      <w:pPr>
        <w:spacing w:line="221" w:lineRule="auto"/>
        <w:sectPr>
          <w:footerReference w:type="default" r:id="rId1"/>
          <w:pgSz w:w="11906" w:h="16839"/>
          <w:pgMar w:top="1431" w:right="1473" w:bottom="1735" w:left="1597" w:header="0" w:footer="151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73" w:right="5310" w:firstLine="7"/>
        <w:spacing w:before="91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）利率市场化改革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货币供需与均衡</w:t>
      </w:r>
    </w:p>
    <w:p>
      <w:pPr>
        <w:pStyle w:val="BodyText"/>
        <w:ind w:left="381"/>
        <w:spacing w:before="15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）货币需求</w:t>
      </w:r>
    </w:p>
    <w:p>
      <w:pPr>
        <w:pStyle w:val="BodyText"/>
        <w:ind w:left="381"/>
        <w:spacing w:before="15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）货币供给</w:t>
      </w:r>
    </w:p>
    <w:p>
      <w:pPr>
        <w:pStyle w:val="BodyText"/>
        <w:ind w:left="366" w:right="6150" w:firstLine="14"/>
        <w:spacing w:before="159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）货币均衡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中央银行</w:t>
      </w:r>
    </w:p>
    <w:p>
      <w:pPr>
        <w:pStyle w:val="BodyText"/>
        <w:ind w:left="381"/>
        <w:spacing w:before="153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）中央银行概述</w:t>
      </w:r>
    </w:p>
    <w:p>
      <w:pPr>
        <w:pStyle w:val="BodyText"/>
        <w:ind w:left="375" w:right="5310" w:firstLine="5"/>
        <w:spacing w:before="156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）中央银行的业务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货币政策</w:t>
      </w:r>
    </w:p>
    <w:p>
      <w:pPr>
        <w:pStyle w:val="BodyText"/>
        <w:ind w:left="381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）货币政策目标</w:t>
      </w:r>
    </w:p>
    <w:p>
      <w:pPr>
        <w:pStyle w:val="BodyText"/>
        <w:ind w:left="381"/>
        <w:spacing w:before="159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）货币政策工具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）货币政策传导机制</w:t>
      </w:r>
    </w:p>
    <w:p>
      <w:pPr>
        <w:pStyle w:val="BodyText"/>
        <w:ind w:left="381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）货币政策规则</w:t>
      </w:r>
    </w:p>
    <w:p>
      <w:pPr>
        <w:pStyle w:val="BodyText"/>
        <w:ind w:left="381"/>
        <w:spacing w:before="15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）货币政策效应</w:t>
      </w:r>
    </w:p>
    <w:p>
      <w:pPr>
        <w:pStyle w:val="BodyText"/>
        <w:ind w:left="374"/>
        <w:spacing w:before="15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通货膨胀与通货紧缩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）通货膨胀含义及类型</w:t>
      </w:r>
    </w:p>
    <w:p>
      <w:pPr>
        <w:pStyle w:val="BodyText"/>
        <w:ind w:left="381"/>
        <w:spacing w:before="159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）通货膨胀的成因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）通货膨胀的效应及治理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）通货紧缩的定义及成因</w:t>
      </w:r>
    </w:p>
    <w:p>
      <w:pPr>
        <w:pStyle w:val="BodyText"/>
        <w:ind w:left="372" w:right="4470" w:firstLine="8"/>
        <w:spacing w:before="155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）通货紧缩的效应及治理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金融稳定与金融监管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）金融稳定</w:t>
      </w:r>
    </w:p>
    <w:p>
      <w:pPr>
        <w:pStyle w:val="BodyText"/>
        <w:ind w:left="381"/>
        <w:spacing w:before="157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）金融脆弱性</w:t>
      </w:r>
    </w:p>
    <w:p>
      <w:pPr>
        <w:pStyle w:val="BodyText"/>
        <w:ind w:left="381"/>
        <w:spacing w:before="15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）金融监管原理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）金融监管体制</w:t>
      </w:r>
    </w:p>
    <w:p>
      <w:pPr>
        <w:pStyle w:val="BodyText"/>
        <w:ind w:left="381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）金融监管内容</w:t>
      </w:r>
    </w:p>
    <w:p>
      <w:pPr>
        <w:spacing w:line="221" w:lineRule="auto"/>
        <w:sectPr>
          <w:footerReference w:type="default" r:id="rId2"/>
          <w:pgSz w:w="11906" w:h="16839"/>
          <w:pgMar w:top="1431" w:right="1785" w:bottom="1735" w:left="1785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73"/>
        <w:spacing w:before="91" w:line="221" w:lineRule="auto"/>
        <w:rPr/>
      </w:pPr>
      <w:r>
        <w:rPr>
          <w:b/>
          <w:bCs/>
          <w:spacing w:val="-8"/>
        </w:rPr>
        <w:t>第二部分</w:t>
      </w:r>
      <w:r>
        <w:rPr>
          <w:spacing w:val="20"/>
        </w:rPr>
        <w:t xml:space="preserve">  </w:t>
      </w:r>
      <w:r>
        <w:rPr>
          <w:b/>
          <w:bCs/>
          <w:spacing w:val="-8"/>
        </w:rPr>
        <w:t>国际金融学</w:t>
      </w:r>
    </w:p>
    <w:p>
      <w:pPr>
        <w:pStyle w:val="BodyText"/>
        <w:ind w:left="394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2"/>
        </w:rPr>
        <w:t>1.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2"/>
        </w:rPr>
        <w:t>国际收支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）国际收支与国际收支平衡表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）国际收支理论</w:t>
      </w:r>
    </w:p>
    <w:p>
      <w:pPr>
        <w:pStyle w:val="BodyText"/>
        <w:ind w:left="381"/>
        <w:spacing w:before="15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）国际收支调节</w:t>
      </w:r>
    </w:p>
    <w:p>
      <w:pPr>
        <w:pStyle w:val="BodyText"/>
        <w:ind w:left="381" w:right="4751" w:hanging="13"/>
        <w:spacing w:before="154" w:line="314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外汇、汇率与外汇市场</w:t>
      </w:r>
      <w:r>
        <w:rPr>
          <w:spacing w:val="2"/>
        </w:rPr>
        <w:t xml:space="preserve"> 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）外汇市场与外汇交易</w:t>
      </w:r>
      <w:r>
        <w:rPr>
          <w:spacing w:val="4"/>
        </w:rPr>
        <w:t xml:space="preserve">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）汇率的决定与变动</w:t>
      </w:r>
    </w:p>
    <w:p>
      <w:pPr>
        <w:pStyle w:val="BodyText"/>
        <w:ind w:left="381"/>
        <w:spacing w:before="4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）汇率决定理论</w:t>
      </w:r>
    </w:p>
    <w:p>
      <w:pPr>
        <w:pStyle w:val="BodyText"/>
        <w:ind w:left="380" w:right="5243" w:hanging="7"/>
        <w:spacing w:before="155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汇率制度与外汇管制</w:t>
      </w:r>
      <w:r>
        <w:rPr>
          <w:spacing w:val="8"/>
        </w:rPr>
        <w:t xml:space="preserve"> 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）汇率制度</w:t>
      </w:r>
    </w:p>
    <w:p>
      <w:pPr>
        <w:pStyle w:val="BodyText"/>
        <w:ind w:left="381"/>
        <w:spacing w:before="38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）外汇管制</w:t>
      </w:r>
    </w:p>
    <w:p>
      <w:pPr>
        <w:pStyle w:val="BodyText"/>
        <w:ind w:left="366" w:right="1391" w:firstLine="14"/>
        <w:spacing w:before="155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）我国的外汇管理体制与人民币汇率形成机制改革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国际储备</w:t>
      </w:r>
    </w:p>
    <w:p>
      <w:pPr>
        <w:pStyle w:val="BodyText"/>
        <w:ind w:left="381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）国际储备及其结构</w:t>
      </w:r>
    </w:p>
    <w:p>
      <w:pPr>
        <w:pStyle w:val="BodyText"/>
        <w:ind w:left="381"/>
        <w:spacing w:before="15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）国际储备的供给</w:t>
      </w:r>
    </w:p>
    <w:p>
      <w:pPr>
        <w:pStyle w:val="BodyText"/>
        <w:ind w:left="381"/>
        <w:spacing w:before="159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）国际储备的需求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）国际储备管理</w:t>
      </w:r>
    </w:p>
    <w:p>
      <w:pPr>
        <w:pStyle w:val="BodyText"/>
        <w:ind w:left="375" w:right="4751" w:firstLine="5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）我国的外汇储备管理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7"/>
        </w:rPr>
        <w:t>国际金融市场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）国际金融市场概述</w:t>
      </w:r>
    </w:p>
    <w:p>
      <w:pPr>
        <w:pStyle w:val="BodyText"/>
        <w:ind w:left="381"/>
        <w:spacing w:before="15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）欧洲货币市场</w:t>
      </w:r>
    </w:p>
    <w:p>
      <w:pPr>
        <w:pStyle w:val="BodyText"/>
        <w:ind w:left="381"/>
        <w:spacing w:before="158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）国际货币市场</w:t>
      </w:r>
    </w:p>
    <w:p>
      <w:pPr>
        <w:pStyle w:val="BodyText"/>
        <w:ind w:left="374" w:right="5521" w:firstLine="6"/>
        <w:spacing w:before="156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）国际资本市场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5"/>
        </w:rPr>
        <w:t>国际金融风险管理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）外汇风险的类型及构成</w:t>
      </w:r>
    </w:p>
    <w:p>
      <w:pPr>
        <w:spacing w:line="221" w:lineRule="auto"/>
        <w:sectPr>
          <w:footerReference w:type="default" r:id="rId3"/>
          <w:pgSz w:w="11906" w:h="16839"/>
          <w:pgMar w:top="1431" w:right="1785" w:bottom="1735" w:left="1785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81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）企业外汇风险管理</w:t>
      </w:r>
    </w:p>
    <w:p>
      <w:pPr>
        <w:pStyle w:val="BodyText"/>
        <w:ind w:left="372" w:right="4740" w:firstLine="8"/>
        <w:spacing w:before="156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）外汇银行外汇风险管理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6"/>
        </w:rPr>
        <w:t>国际资本流动</w:t>
      </w:r>
    </w:p>
    <w:p>
      <w:pPr>
        <w:pStyle w:val="BodyText"/>
        <w:ind w:left="381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）国际资本流动概述</w:t>
      </w:r>
    </w:p>
    <w:p>
      <w:pPr>
        <w:pStyle w:val="BodyText"/>
        <w:ind w:left="381"/>
        <w:spacing w:before="15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）国际资本流动理论</w:t>
      </w:r>
    </w:p>
    <w:p>
      <w:pPr>
        <w:pStyle w:val="BodyText"/>
        <w:ind w:left="381"/>
        <w:spacing w:before="15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）国际金融危机</w:t>
      </w:r>
    </w:p>
    <w:p>
      <w:pPr>
        <w:pStyle w:val="BodyText"/>
        <w:ind w:left="379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开放经济条件下的调整政策</w:t>
      </w:r>
    </w:p>
    <w:p>
      <w:pPr>
        <w:pStyle w:val="BodyText"/>
        <w:ind w:left="381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）开放经济条件下的政策目标与政策工具</w:t>
      </w:r>
    </w:p>
    <w:p>
      <w:pPr>
        <w:pStyle w:val="BodyText"/>
        <w:ind w:left="373" w:right="3621" w:firstLine="7"/>
        <w:spacing w:before="156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）开放经济条件下的宏观经济政策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国际货币体系与国际金融机构</w:t>
      </w:r>
    </w:p>
    <w:p>
      <w:pPr>
        <w:pStyle w:val="BodyText"/>
        <w:ind w:left="381"/>
        <w:spacing w:before="15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）国际货币体系的主要内容及类型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）国际货币体系改革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）国际金融机构及其改革</w:t>
      </w:r>
    </w:p>
    <w:p>
      <w:pPr>
        <w:pStyle w:val="BodyText"/>
        <w:ind w:left="373"/>
        <w:spacing w:before="156" w:line="221" w:lineRule="auto"/>
        <w:rPr/>
      </w:pPr>
      <w:r>
        <w:rPr>
          <w:b/>
          <w:bCs/>
          <w:spacing w:val="-3"/>
        </w:rPr>
        <w:t>第三部分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商业银行管理学</w:t>
      </w:r>
    </w:p>
    <w:p>
      <w:pPr>
        <w:pStyle w:val="BodyText"/>
        <w:ind w:left="394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商业银行管理导论</w:t>
      </w:r>
    </w:p>
    <w:p>
      <w:pPr>
        <w:pStyle w:val="BodyText"/>
        <w:ind w:left="381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）商业银行的性质与功能</w:t>
      </w:r>
    </w:p>
    <w:p>
      <w:pPr>
        <w:pStyle w:val="BodyText"/>
        <w:ind w:left="381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）商业银行在金融市场中的作用</w:t>
      </w:r>
    </w:p>
    <w:p>
      <w:pPr>
        <w:pStyle w:val="BodyText"/>
        <w:ind w:left="381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）商业银行管理的目标及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三性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平衡</w:t>
      </w:r>
    </w:p>
    <w:p>
      <w:pPr>
        <w:pStyle w:val="BodyText"/>
        <w:ind w:left="368" w:right="4392" w:firstLine="13"/>
        <w:spacing w:before="154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）现代商业银行经营的特点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商业银行资产与负债业务管理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）商业银行负债业务的性质与构成</w:t>
      </w:r>
    </w:p>
    <w:p>
      <w:pPr>
        <w:pStyle w:val="BodyText"/>
        <w:ind w:left="381"/>
        <w:spacing w:before="15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）商业银行存款管理与定价</w:t>
      </w:r>
    </w:p>
    <w:p>
      <w:pPr>
        <w:pStyle w:val="BodyText"/>
        <w:ind w:left="381"/>
        <w:spacing w:before="159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）商业银行借入资金管理</w:t>
      </w:r>
    </w:p>
    <w:p>
      <w:pPr>
        <w:pStyle w:val="BodyText"/>
        <w:ind w:left="381"/>
        <w:spacing w:before="15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）商业银行贷款定价</w:t>
      </w:r>
    </w:p>
    <w:p>
      <w:pPr>
        <w:pStyle w:val="BodyText"/>
        <w:ind w:left="381"/>
        <w:spacing w:before="157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）商业银行贷款风险管理（财务比率分析与风险控制）</w:t>
      </w:r>
    </w:p>
    <w:p>
      <w:pPr>
        <w:pStyle w:val="BodyText"/>
        <w:spacing w:before="154" w:line="221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）商业银行个人消费贷款与住房抵押贷款管</w:t>
      </w:r>
      <w:r>
        <w:rPr>
          <w:spacing w:val="-2"/>
        </w:rPr>
        <w:t>理（偿还及其方式）</w:t>
      </w:r>
    </w:p>
    <w:p>
      <w:pPr>
        <w:spacing w:line="221" w:lineRule="auto"/>
        <w:sectPr>
          <w:footerReference w:type="default" r:id="rId4"/>
          <w:pgSz w:w="11906" w:h="16839"/>
          <w:pgMar w:top="1431" w:right="1516" w:bottom="1735" w:left="1785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73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商业银行中间业务管理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）中间业务的种类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）中间业务的风险与控制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）中间业务创新</w:t>
      </w:r>
    </w:p>
    <w:p>
      <w:pPr>
        <w:pStyle w:val="BodyText"/>
        <w:ind w:left="366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商业银行流动性管理</w:t>
      </w:r>
    </w:p>
    <w:p>
      <w:pPr>
        <w:pStyle w:val="BodyText"/>
        <w:ind w:left="381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）商业银行流动性的衡量（财务比率的计算）</w:t>
      </w:r>
    </w:p>
    <w:p>
      <w:pPr>
        <w:pStyle w:val="BodyText"/>
        <w:ind w:left="381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）商业银行流动性的需求与供给</w:t>
      </w:r>
    </w:p>
    <w:p>
      <w:pPr>
        <w:pStyle w:val="BodyText"/>
        <w:ind w:left="381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）商业银行流动性预测</w:t>
      </w:r>
    </w:p>
    <w:p>
      <w:pPr>
        <w:pStyle w:val="BodyText"/>
        <w:ind w:left="375" w:right="4751" w:firstLine="5"/>
        <w:spacing w:before="153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）现金资产与头寸管理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商业银行资产负债管理</w:t>
      </w:r>
    </w:p>
    <w:p>
      <w:pPr>
        <w:pStyle w:val="BodyText"/>
        <w:ind w:left="381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）商业银行资产负债管理阶段的演变</w:t>
      </w:r>
    </w:p>
    <w:p>
      <w:pPr>
        <w:pStyle w:val="BodyText"/>
        <w:ind w:left="381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）商业银行资产与负债管理阶段的内容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）商业银行资产负债管理阶段的内容</w:t>
      </w:r>
    </w:p>
    <w:p>
      <w:pPr>
        <w:pStyle w:val="BodyText"/>
        <w:ind w:left="381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）敏感性缺口与持续期缺口分析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）商业银行资产负债比例管理</w:t>
      </w:r>
    </w:p>
    <w:p>
      <w:pPr>
        <w:pStyle w:val="BodyText"/>
        <w:ind w:left="374" w:right="551" w:firstLine="6"/>
        <w:spacing w:before="156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）金融期货在利率敏感性缺口及持续期缺口管理中的运用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商业银行资本金与经济资本管理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）商业银行资本金的功能与构成</w:t>
      </w:r>
    </w:p>
    <w:p>
      <w:pPr>
        <w:pStyle w:val="BodyText"/>
        <w:ind w:left="381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）巴塞尔协议基本内容与不足</w:t>
      </w:r>
    </w:p>
    <w:p>
      <w:pPr>
        <w:pStyle w:val="BodyText"/>
        <w:ind w:left="381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）巴塞尔新资本协议的核心内容与不足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）巴塞尔资本协议Ⅲ的核心内容</w:t>
      </w:r>
    </w:p>
    <w:p>
      <w:pPr>
        <w:pStyle w:val="BodyText"/>
        <w:ind w:left="381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）资本充足率的测定与应用</w:t>
      </w:r>
    </w:p>
    <w:p>
      <w:pPr>
        <w:pStyle w:val="BodyText"/>
        <w:ind w:left="381"/>
        <w:spacing w:before="159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）商业银行资本金管理策略</w:t>
      </w:r>
    </w:p>
    <w:p>
      <w:pPr>
        <w:pStyle w:val="BodyText"/>
        <w:ind w:left="381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）商业银行损失划分及其风险管理基本手段</w:t>
      </w:r>
    </w:p>
    <w:p>
      <w:pPr>
        <w:pStyle w:val="BodyText"/>
        <w:ind w:left="381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）经济资本内涵与管理内容</w:t>
      </w:r>
    </w:p>
    <w:p>
      <w:pPr>
        <w:pStyle w:val="BodyText"/>
        <w:ind w:left="381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RAROC </w:t>
      </w:r>
      <w:r>
        <w:rPr>
          <w:spacing w:val="-1"/>
        </w:rPr>
        <w:t>方法在经济资本配置中的作用</w:t>
      </w:r>
    </w:p>
    <w:p>
      <w:pPr>
        <w:spacing w:line="220" w:lineRule="auto"/>
        <w:sectPr>
          <w:footerReference w:type="default" r:id="rId5"/>
          <w:pgSz w:w="11906" w:h="16839"/>
          <w:pgMar w:top="1431" w:right="1785" w:bottom="1731" w:left="1785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72" w:right="3018" w:firstLine="8"/>
        <w:spacing w:before="91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RAROC </w:t>
      </w:r>
      <w:r>
        <w:rPr>
          <w:spacing w:val="-1"/>
        </w:rPr>
        <w:t>方法在贷款定价中的应用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商业银行财务报表与绩效评估</w:t>
      </w:r>
    </w:p>
    <w:p>
      <w:pPr>
        <w:pStyle w:val="BodyText"/>
        <w:ind w:left="381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）资产负债表、利润表、现金流量表</w:t>
      </w:r>
    </w:p>
    <w:p>
      <w:pPr>
        <w:pStyle w:val="BodyText"/>
        <w:ind w:left="381"/>
        <w:spacing w:before="15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）商业银行绩效评估指标与评估方法</w:t>
      </w:r>
    </w:p>
    <w:p>
      <w:pPr>
        <w:pStyle w:val="BodyText"/>
        <w:ind w:left="373"/>
        <w:spacing w:before="159" w:line="221" w:lineRule="auto"/>
        <w:rPr/>
      </w:pPr>
      <w:r>
        <w:rPr>
          <w:b/>
          <w:bCs/>
          <w:spacing w:val="-3"/>
        </w:rPr>
        <w:t>第四部分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金融市场学</w:t>
      </w:r>
    </w:p>
    <w:p>
      <w:pPr>
        <w:pStyle w:val="BodyText"/>
        <w:ind w:left="394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利率理论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）利率的种类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）利率的计算</w:t>
      </w:r>
    </w:p>
    <w:p>
      <w:pPr>
        <w:pStyle w:val="BodyText"/>
        <w:ind w:left="381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）利率的风险结构</w:t>
      </w:r>
    </w:p>
    <w:p>
      <w:pPr>
        <w:pStyle w:val="BodyText"/>
        <w:ind w:left="368" w:right="4962" w:firstLine="13"/>
        <w:spacing w:before="155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 利率的期限结构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金融市场、机构与工具</w:t>
      </w:r>
    </w:p>
    <w:p>
      <w:pPr>
        <w:pStyle w:val="BodyText"/>
        <w:ind w:left="381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）金融市场及其要素</w:t>
      </w:r>
    </w:p>
    <w:p>
      <w:pPr>
        <w:pStyle w:val="BodyText"/>
        <w:ind w:left="381"/>
        <w:spacing w:before="15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）金融机构</w:t>
      </w:r>
    </w:p>
    <w:p>
      <w:pPr>
        <w:pStyle w:val="BodyText"/>
        <w:ind w:left="381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）货币市场</w:t>
      </w:r>
    </w:p>
    <w:p>
      <w:pPr>
        <w:pStyle w:val="BodyText"/>
        <w:ind w:left="381"/>
        <w:spacing w:before="15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）资本市场</w:t>
      </w:r>
    </w:p>
    <w:p>
      <w:pPr>
        <w:pStyle w:val="BodyText"/>
        <w:ind w:left="381"/>
        <w:spacing w:before="15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）衍生工具市场</w:t>
      </w:r>
    </w:p>
    <w:p>
      <w:pPr>
        <w:pStyle w:val="BodyText"/>
        <w:ind w:left="381"/>
        <w:spacing w:before="15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）资产证券化与信用衍生产品</w:t>
      </w:r>
    </w:p>
    <w:p>
      <w:pPr>
        <w:pStyle w:val="BodyText"/>
        <w:ind w:left="373" w:right="5591" w:firstLine="7"/>
        <w:spacing w:before="155" w:line="27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）投资基金市场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证券估值</w:t>
      </w:r>
    </w:p>
    <w:p>
      <w:pPr>
        <w:pStyle w:val="BodyText"/>
        <w:ind w:left="381"/>
        <w:spacing w:before="157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）现金流与折现</w:t>
      </w:r>
    </w:p>
    <w:p>
      <w:pPr>
        <w:pStyle w:val="BodyText"/>
        <w:ind w:left="381"/>
        <w:spacing w:before="15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）债券估值</w:t>
      </w:r>
    </w:p>
    <w:p>
      <w:pPr>
        <w:pStyle w:val="BodyText"/>
        <w:ind w:left="366" w:right="6083" w:firstLine="14"/>
        <w:spacing w:before="156" w:line="273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）股票估值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投资组合理论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）风险与收益的度量</w:t>
      </w:r>
    </w:p>
    <w:p>
      <w:pPr>
        <w:pStyle w:val="BodyText"/>
        <w:ind w:left="381"/>
        <w:spacing w:before="15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）均值方差准则</w:t>
      </w:r>
    </w:p>
    <w:p>
      <w:pPr>
        <w:pStyle w:val="BodyText"/>
        <w:ind w:left="381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）投资组合的风险和收益</w:t>
      </w:r>
    </w:p>
    <w:p>
      <w:pPr>
        <w:spacing w:line="221" w:lineRule="auto"/>
        <w:sectPr>
          <w:footerReference w:type="default" r:id="rId6"/>
          <w:pgSz w:w="11906" w:h="16839"/>
          <w:pgMar w:top="1431" w:right="1785" w:bottom="1735" w:left="1785" w:header="0" w:footer="151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）资本资产定价模型（</w:t>
      </w:r>
      <w:r>
        <w:rPr>
          <w:rFonts w:ascii="Times New Roman" w:hAnsi="Times New Roman" w:eastAsia="Times New Roman" w:cs="Times New Roman"/>
          <w:spacing w:val="-2"/>
        </w:rPr>
        <w:t>CAPM</w:t>
      </w:r>
      <w:r>
        <w:rPr>
          <w:spacing w:val="-2"/>
        </w:rPr>
        <w:t>）</w:t>
      </w:r>
    </w:p>
    <w:p>
      <w:pPr>
        <w:pStyle w:val="BodyText"/>
        <w:ind w:left="569" w:right="4988" w:firstLine="5"/>
        <w:spacing w:before="116" w:line="285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）无套利定价模型</w:t>
      </w:r>
      <w:r>
        <w:rPr>
          <w:rFonts w:ascii="Times New Roman" w:hAnsi="Times New Roman" w:eastAsia="Times New Roman" w:cs="Times New Roman"/>
          <w:spacing w:val="-2"/>
        </w:rPr>
        <w:t>(APT)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市场有效性</w:t>
      </w:r>
    </w:p>
    <w:p>
      <w:pPr>
        <w:pStyle w:val="BodyText"/>
        <w:ind w:left="574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）有效市场的概念与形式</w:t>
      </w:r>
    </w:p>
    <w:p>
      <w:pPr>
        <w:pStyle w:val="BodyText"/>
        <w:ind w:left="574"/>
        <w:spacing w:before="15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）行为金融的基本理论</w:t>
      </w:r>
    </w:p>
    <w:p>
      <w:pPr>
        <w:ind w:left="572"/>
        <w:spacing w:before="15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7"/>
        <w:spacing w:before="153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83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8"/>
        <w:spacing w:before="15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 </w:t>
      </w:r>
      <w:r>
        <w:rPr>
          <w:spacing w:val="-4"/>
        </w:rPr>
        <w:t>名词解释，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4"/>
        </w:rPr>
        <w:t>分；</w:t>
      </w:r>
    </w:p>
    <w:p>
      <w:pPr>
        <w:pStyle w:val="BodyText"/>
        <w:ind w:left="561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 </w:t>
      </w:r>
      <w:r>
        <w:rPr>
          <w:spacing w:val="-2"/>
        </w:rPr>
        <w:t>不定项选择题，</w:t>
      </w:r>
      <w:r>
        <w:rPr>
          <w:rFonts w:ascii="Times New Roman" w:hAnsi="Times New Roman" w:eastAsia="Times New Roman" w:cs="Times New Roman"/>
          <w:spacing w:val="-2"/>
        </w:rPr>
        <w:t>50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分；</w:t>
      </w:r>
    </w:p>
    <w:p>
      <w:pPr>
        <w:pStyle w:val="BodyText"/>
        <w:ind w:left="567"/>
        <w:spacing w:before="15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 </w:t>
      </w:r>
      <w:r>
        <w:rPr>
          <w:spacing w:val="-3"/>
        </w:rPr>
        <w:t>简答题，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分；</w:t>
      </w:r>
    </w:p>
    <w:p>
      <w:pPr>
        <w:pStyle w:val="BodyText"/>
        <w:ind w:left="560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4. </w:t>
      </w:r>
      <w:r>
        <w:rPr>
          <w:spacing w:val="-2"/>
        </w:rPr>
        <w:t>计算题，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2"/>
        </w:rPr>
        <w:t>分；</w:t>
      </w:r>
    </w:p>
    <w:p>
      <w:pPr>
        <w:pStyle w:val="BodyText"/>
        <w:ind w:left="569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 </w:t>
      </w:r>
      <w:r>
        <w:rPr>
          <w:spacing w:val="-1"/>
        </w:rPr>
        <w:t>论述题或综合分析题，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分。</w:t>
      </w:r>
    </w:p>
    <w:p>
      <w:pPr>
        <w:pStyle w:val="BodyText"/>
        <w:ind w:left="566"/>
        <w:spacing w:before="153" w:line="220" w:lineRule="auto"/>
        <w:outlineLvl w:val="1"/>
        <w:rPr/>
      </w:pPr>
      <w:r>
        <w:rPr>
          <w:spacing w:val="-1"/>
        </w:rPr>
        <w:t>题型与分数分布可以视情况微调。</w:t>
      </w:r>
    </w:p>
    <w:p>
      <w:pPr>
        <w:ind w:left="574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6" w:right="78" w:firstLine="582"/>
        <w:spacing w:before="151" w:line="31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《金融学》（第四版</w:t>
      </w:r>
      <w:r>
        <w:rPr>
          <w:spacing w:val="4"/>
        </w:rPr>
        <w:t>），</w:t>
      </w:r>
      <w:r>
        <w:rPr>
          <w:spacing w:val="-3"/>
        </w:rPr>
        <w:t>张强、喻旭兰、乔海曙主编，高等教育出</w:t>
      </w:r>
      <w:r>
        <w:rPr/>
        <w:t xml:space="preserve"> </w:t>
      </w:r>
      <w:r>
        <w:rPr>
          <w:spacing w:val="-3"/>
        </w:rPr>
        <w:t>版社，</w:t>
      </w:r>
      <w:r>
        <w:rPr>
          <w:rFonts w:ascii="Times New Roman" w:hAnsi="Times New Roman" w:eastAsia="Times New Roman" w:cs="Times New Roman"/>
          <w:spacing w:val="-3"/>
        </w:rPr>
        <w:t>2023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firstLine="561"/>
        <w:spacing w:before="40" w:line="309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spacing w:val="-7"/>
        </w:rPr>
        <w:t>《国际金融》（第五版</w:t>
      </w:r>
      <w:r>
        <w:rPr>
          <w:spacing w:val="-19"/>
        </w:rPr>
        <w:t>），</w:t>
      </w:r>
      <w:r>
        <w:rPr>
          <w:spacing w:val="-7"/>
        </w:rPr>
        <w:t>吴志明、杨胜刚主编，高等</w:t>
      </w:r>
      <w:r>
        <w:rPr>
          <w:spacing w:val="-8"/>
        </w:rPr>
        <w:t>教育出版社，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月版；</w:t>
      </w:r>
    </w:p>
    <w:p>
      <w:pPr>
        <w:pStyle w:val="BodyText"/>
        <w:ind w:right="33"/>
        <w:spacing w:before="40" w:line="221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《商业银行管理学》（第五版</w:t>
      </w:r>
      <w:r>
        <w:rPr>
          <w:spacing w:val="8"/>
        </w:rPr>
        <w:t>），</w:t>
      </w:r>
      <w:r>
        <w:rPr>
          <w:spacing w:val="-1"/>
        </w:rPr>
        <w:t>彭建刚主编，中国金融出版社，</w:t>
      </w:r>
    </w:p>
    <w:p>
      <w:pPr>
        <w:pStyle w:val="BodyText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2019 </w:t>
      </w:r>
      <w:r>
        <w:rPr>
          <w:spacing w:val="-3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left="6" w:right="79" w:firstLine="554"/>
        <w:spacing w:before="154" w:line="311" w:lineRule="auto"/>
        <w:rPr/>
      </w:pP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spacing w:val="-8"/>
        </w:rPr>
        <w:t>《金融市场学》（第二版</w:t>
      </w:r>
      <w:r>
        <w:rPr>
          <w:spacing w:val="-38"/>
        </w:rPr>
        <w:t>），</w:t>
      </w:r>
      <w:r>
        <w:rPr>
          <w:spacing w:val="-8"/>
        </w:rPr>
        <w:t>晏艳阳等主编，高等教育出版社，</w:t>
      </w:r>
      <w:r>
        <w:rPr>
          <w:rFonts w:ascii="Times New Roman" w:hAnsi="Times New Roman" w:eastAsia="Times New Roman" w:cs="Times New Roman"/>
          <w:spacing w:val="-8"/>
        </w:rPr>
        <w:t>2020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0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0"/>
        </w:rPr>
        <w:t>月版。</w:t>
      </w:r>
    </w:p>
    <w:sectPr>
      <w:footerReference w:type="default" r:id="rId7"/>
      <w:pgSz w:w="11906" w:h="16839"/>
      <w:pgMar w:top="1431" w:right="1394" w:bottom="1731" w:left="1592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5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6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hu</dc:creator>
  <dcterms:created xsi:type="dcterms:W3CDTF">2024-09-25T10:07:30Z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2024-10-11T22:43:59</vt:filetime>
  </property>
</Properties>
</file>