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FB8A8F">
      <w:pPr>
        <w:spacing w:after="156" w:afterLines="50" w:line="360" w:lineRule="auto"/>
        <w:jc w:val="center"/>
        <w:rPr>
          <w:rFonts w:eastAsia="华文中宋"/>
          <w:b/>
          <w:color w:val="auto"/>
          <w:sz w:val="32"/>
          <w:szCs w:val="32"/>
        </w:rPr>
      </w:pPr>
      <w:bookmarkStart w:id="6" w:name="_GoBack"/>
      <w:bookmarkEnd w:id="6"/>
      <w:r>
        <w:rPr>
          <w:rFonts w:eastAsia="华文中宋"/>
          <w:b/>
          <w:color w:val="auto"/>
          <w:sz w:val="32"/>
          <w:szCs w:val="32"/>
        </w:rPr>
        <w:t>20</w:t>
      </w:r>
      <w:r>
        <w:rPr>
          <w:rFonts w:hint="eastAsia" w:eastAsia="华文中宋"/>
          <w:b/>
          <w:color w:val="auto"/>
          <w:sz w:val="32"/>
          <w:szCs w:val="32"/>
        </w:rPr>
        <w:t>25</w:t>
      </w:r>
      <w:r>
        <w:rPr>
          <w:rFonts w:eastAsia="华文中宋"/>
          <w:b/>
          <w:color w:val="auto"/>
          <w:sz w:val="32"/>
          <w:szCs w:val="32"/>
        </w:rPr>
        <w:t>年硕士研究生</w:t>
      </w:r>
      <w:r>
        <w:rPr>
          <w:rFonts w:hint="eastAsia" w:eastAsia="华文中宋"/>
          <w:b/>
          <w:color w:val="auto"/>
          <w:sz w:val="32"/>
          <w:szCs w:val="32"/>
        </w:rPr>
        <w:t>招生</w:t>
      </w:r>
      <w:r>
        <w:rPr>
          <w:rFonts w:eastAsia="华文中宋"/>
          <w:b/>
          <w:color w:val="auto"/>
          <w:sz w:val="32"/>
          <w:szCs w:val="32"/>
        </w:rPr>
        <w:t>考试</w:t>
      </w:r>
    </w:p>
    <w:p w14:paraId="631B87AB">
      <w:pPr>
        <w:spacing w:after="156" w:afterLines="50" w:line="360" w:lineRule="auto"/>
        <w:jc w:val="center"/>
        <w:outlineLvl w:val="0"/>
        <w:rPr>
          <w:rFonts w:eastAsia="华文中宋"/>
          <w:b/>
          <w:color w:val="auto"/>
          <w:sz w:val="32"/>
          <w:szCs w:val="32"/>
        </w:rPr>
      </w:pPr>
      <w:r>
        <w:rPr>
          <w:rFonts w:eastAsia="华文中宋"/>
          <w:b/>
          <w:color w:val="auto"/>
          <w:sz w:val="32"/>
          <w:szCs w:val="32"/>
        </w:rPr>
        <w:t>初试</w:t>
      </w:r>
      <w:r>
        <w:rPr>
          <w:rFonts w:hint="eastAsia" w:eastAsia="华文中宋"/>
          <w:b/>
          <w:color w:val="auto"/>
          <w:sz w:val="32"/>
          <w:szCs w:val="32"/>
          <w:u w:val="single"/>
        </w:rPr>
        <w:t>《混凝土结构设计原理》</w:t>
      </w:r>
      <w:r>
        <w:rPr>
          <w:rFonts w:eastAsia="华文中宋"/>
          <w:b/>
          <w:color w:val="auto"/>
          <w:sz w:val="32"/>
          <w:szCs w:val="32"/>
        </w:rPr>
        <w:t>科目考试大纲</w:t>
      </w:r>
    </w:p>
    <w:p w14:paraId="1BAA876F">
      <w:pPr>
        <w:pStyle w:val="14"/>
        <w:spacing w:line="360" w:lineRule="auto"/>
        <w:ind w:firstLine="560"/>
        <w:rPr>
          <w:color w:val="auto"/>
          <w:sz w:val="28"/>
          <w:szCs w:val="28"/>
        </w:rPr>
      </w:pPr>
    </w:p>
    <w:p w14:paraId="3D2BEDC5">
      <w:pPr>
        <w:pStyle w:val="14"/>
        <w:numPr>
          <w:ilvl w:val="0"/>
          <w:numId w:val="1"/>
        </w:numPr>
        <w:spacing w:line="276" w:lineRule="auto"/>
        <w:ind w:firstLine="0" w:firstLineChars="0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考查目标</w:t>
      </w:r>
    </w:p>
    <w:p w14:paraId="690A3197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考查考生对混凝土结构的基本概念、原理、构造、计算方法和工艺的掌握和理解程度，综合运用知识分析和解决实际工程问题能力。</w:t>
      </w:r>
    </w:p>
    <w:p w14:paraId="2469D655">
      <w:pPr>
        <w:pStyle w:val="14"/>
        <w:numPr>
          <w:ilvl w:val="0"/>
          <w:numId w:val="1"/>
        </w:numPr>
        <w:spacing w:line="276" w:lineRule="auto"/>
        <w:ind w:firstLine="0" w:firstLineChars="0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考试形式与试卷结构</w:t>
      </w:r>
    </w:p>
    <w:p w14:paraId="09960109">
      <w:pPr>
        <w:spacing w:line="276" w:lineRule="auto"/>
        <w:outlineLvl w:val="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（一）试卷满分及考试时间</w:t>
      </w:r>
    </w:p>
    <w:p w14:paraId="499A6D18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满分150分，考试时间为3小时</w:t>
      </w:r>
      <w:r>
        <w:rPr>
          <w:rFonts w:hint="eastAsia"/>
          <w:color w:val="auto"/>
          <w:sz w:val="28"/>
          <w:szCs w:val="28"/>
        </w:rPr>
        <w:t>。</w:t>
      </w:r>
    </w:p>
    <w:p w14:paraId="5201FC48">
      <w:pPr>
        <w:spacing w:line="276" w:lineRule="auto"/>
        <w:outlineLvl w:val="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（二）答题方式</w:t>
      </w:r>
    </w:p>
    <w:p w14:paraId="761A82C8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答题方式为闭卷、笔试。</w:t>
      </w:r>
    </w:p>
    <w:p w14:paraId="291FB834">
      <w:pPr>
        <w:spacing w:line="276" w:lineRule="auto"/>
        <w:outlineLvl w:val="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（三）试卷内容结构</w:t>
      </w:r>
    </w:p>
    <w:p w14:paraId="2A09E8FA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内容结构为各部分知识点在试卷中所占的比例。</w:t>
      </w:r>
    </w:p>
    <w:p w14:paraId="6011E4A9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试卷内容结构分为四个部分：</w:t>
      </w:r>
    </w:p>
    <w:p w14:paraId="21CA08FC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（1）基本概念部分，合计30~50分；</w:t>
      </w:r>
    </w:p>
    <w:p w14:paraId="6F66389C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（2）理解分析部分，合计60~80分；</w:t>
      </w:r>
    </w:p>
    <w:p w14:paraId="777A15F9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（3）实际应用部分，合计20~40分；</w:t>
      </w:r>
    </w:p>
    <w:p w14:paraId="5AD6B797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（4）综合分析部分，合计20~40分。</w:t>
      </w:r>
    </w:p>
    <w:p w14:paraId="23BC3EAA">
      <w:pPr>
        <w:spacing w:line="276" w:lineRule="auto"/>
        <w:outlineLvl w:val="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（四）试卷题型结构</w:t>
      </w:r>
    </w:p>
    <w:p w14:paraId="25E80F54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试卷题型结构为：名词解释30~50分、简答题60~80分、计算题20~40分，综合论述题20~40分。</w:t>
      </w:r>
    </w:p>
    <w:p w14:paraId="03DD3CC7">
      <w:pPr>
        <w:pStyle w:val="14"/>
        <w:numPr>
          <w:ilvl w:val="0"/>
          <w:numId w:val="1"/>
        </w:numPr>
        <w:spacing w:line="276" w:lineRule="auto"/>
        <w:ind w:firstLine="0" w:firstLineChars="0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考查内容及要求</w:t>
      </w:r>
    </w:p>
    <w:p w14:paraId="3DB63B04">
      <w:pPr>
        <w:spacing w:line="276" w:lineRule="auto"/>
        <w:outlineLvl w:val="1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（一）基本概念部分</w:t>
      </w:r>
    </w:p>
    <w:p w14:paraId="03F117AD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（1）掌握结构的基本概念；</w:t>
      </w:r>
    </w:p>
    <w:p w14:paraId="04AA33F4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（2）掌握混凝土结构的基本概念；</w:t>
      </w:r>
    </w:p>
    <w:p w14:paraId="5708B488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（3）掌握脆性破坏、延性破坏的基本概念；</w:t>
      </w:r>
    </w:p>
    <w:p w14:paraId="44DEBB0D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（4）掌握混凝土强度的基本概念；</w:t>
      </w:r>
    </w:p>
    <w:p w14:paraId="0694B8A8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（5）掌握混凝土尺寸效应的基本概念；</w:t>
      </w:r>
    </w:p>
    <w:p w14:paraId="6CA64A8F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（6）掌握混凝土收缩、徐变的基本概念；</w:t>
      </w:r>
    </w:p>
    <w:p w14:paraId="57133625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（7）掌握徐变系数、</w:t>
      </w:r>
      <w:r>
        <w:rPr>
          <w:color w:val="auto"/>
          <w:sz w:val="28"/>
          <w:szCs w:val="28"/>
        </w:rPr>
        <w:t>构件理论厚度</w:t>
      </w:r>
      <w:r>
        <w:rPr>
          <w:rFonts w:hint="eastAsia"/>
          <w:color w:val="auto"/>
          <w:sz w:val="28"/>
          <w:szCs w:val="28"/>
        </w:rPr>
        <w:t>的基本概念；</w:t>
      </w:r>
    </w:p>
    <w:p w14:paraId="6612C32A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（8）掌握钢筋条件屈服强度的基本概念；</w:t>
      </w:r>
    </w:p>
    <w:p w14:paraId="627B0CAB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（9）掌握概率极限状态设计法的基本概念；</w:t>
      </w:r>
    </w:p>
    <w:p w14:paraId="6D154501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（10）掌握可靠度的基本概念；</w:t>
      </w:r>
    </w:p>
    <w:p w14:paraId="07300B88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（11）掌握结构上作用的基本概念；</w:t>
      </w:r>
    </w:p>
    <w:p w14:paraId="5010641D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（12）</w:t>
      </w:r>
      <w:bookmarkStart w:id="0" w:name="OLE_LINK1"/>
      <w:bookmarkStart w:id="1" w:name="OLE_LINK2"/>
      <w:r>
        <w:rPr>
          <w:rFonts w:hint="eastAsia"/>
          <w:color w:val="auto"/>
          <w:sz w:val="28"/>
          <w:szCs w:val="28"/>
        </w:rPr>
        <w:t>掌握混凝土保护层的基本概念；</w:t>
      </w:r>
      <w:bookmarkEnd w:id="0"/>
      <w:bookmarkEnd w:id="1"/>
    </w:p>
    <w:p w14:paraId="4CCEA111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（13）掌握相对受压区高度的基本概念；</w:t>
      </w:r>
    </w:p>
    <w:p w14:paraId="28C010BD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（14）掌握</w:t>
      </w:r>
      <w:r>
        <w:rPr>
          <w:color w:val="auto"/>
          <w:sz w:val="28"/>
          <w:szCs w:val="28"/>
        </w:rPr>
        <w:t>腹剪斜裂缝</w:t>
      </w:r>
      <w:r>
        <w:rPr>
          <w:rFonts w:hint="eastAsia"/>
          <w:color w:val="auto"/>
          <w:sz w:val="28"/>
          <w:szCs w:val="28"/>
        </w:rPr>
        <w:t>、弯剪斜裂缝的基本概念；</w:t>
      </w:r>
    </w:p>
    <w:p w14:paraId="0DC2266B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（15）掌握剪跨比的基本概念；</w:t>
      </w:r>
    </w:p>
    <w:p w14:paraId="65B43A37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（16）掌握抵抗弯矩图的基本概念；</w:t>
      </w:r>
    </w:p>
    <w:p w14:paraId="61030B54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（17）掌握开裂截面的换算截面的基本概念；</w:t>
      </w:r>
    </w:p>
    <w:p w14:paraId="69094DAC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（18）掌握预拱度的基本概念；</w:t>
      </w:r>
    </w:p>
    <w:p w14:paraId="115C835C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（19）掌握混凝土碳化的基本概念；</w:t>
      </w:r>
    </w:p>
    <w:p w14:paraId="7D72E11E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（20）掌握偏心距增大系数的基本概念；</w:t>
      </w:r>
    </w:p>
    <w:p w14:paraId="6CA5CFA8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（21）掌握预应力度的基本概念；</w:t>
      </w:r>
    </w:p>
    <w:p w14:paraId="70797FDA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（22）掌握全预应力混凝土构件、A类构件、B类构件的基本概念；</w:t>
      </w:r>
    </w:p>
    <w:p w14:paraId="56847BBD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（23）掌握先张法、后张法的基本概念；</w:t>
      </w:r>
    </w:p>
    <w:p w14:paraId="24473157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（24）掌握张拉控制应力的基本概念。</w:t>
      </w:r>
    </w:p>
    <w:p w14:paraId="2755A4E1">
      <w:pPr>
        <w:spacing w:line="276" w:lineRule="auto"/>
        <w:outlineLvl w:val="1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（二）理解分析部分</w:t>
      </w:r>
    </w:p>
    <w:p w14:paraId="56D044BE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（1）掌握混凝土结构的受力特征、优缺点；</w:t>
      </w:r>
    </w:p>
    <w:p w14:paraId="47527AD0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（2）掌握钢筋与混凝土共同工作的条件；</w:t>
      </w:r>
    </w:p>
    <w:p w14:paraId="6CA9163A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（3）掌握混凝土收缩、徐变的发展特征、成因及影响因素；</w:t>
      </w:r>
    </w:p>
    <w:p w14:paraId="5F26C024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（4）掌握钢筋、混凝土材料选择的原则；</w:t>
      </w:r>
    </w:p>
    <w:p w14:paraId="2C12FD7F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（5）掌握钢筋的品种、分类及本构关系；</w:t>
      </w:r>
    </w:p>
    <w:p w14:paraId="3150F8B3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（6）掌握</w:t>
      </w:r>
      <w:r>
        <w:rPr>
          <w:color w:val="auto"/>
          <w:sz w:val="28"/>
          <w:szCs w:val="28"/>
        </w:rPr>
        <w:t>钢筋的粘结强度</w:t>
      </w:r>
      <w:r>
        <w:rPr>
          <w:rFonts w:hint="eastAsia"/>
          <w:color w:val="auto"/>
          <w:sz w:val="28"/>
          <w:szCs w:val="28"/>
        </w:rPr>
        <w:t>的组成；</w:t>
      </w:r>
    </w:p>
    <w:p w14:paraId="7972520C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（7）掌握钢筋锚固</w:t>
      </w:r>
      <w:r>
        <w:rPr>
          <w:color w:val="auto"/>
          <w:sz w:val="28"/>
          <w:szCs w:val="28"/>
        </w:rPr>
        <w:t>劈裂粘结破坏</w:t>
      </w:r>
      <w:r>
        <w:rPr>
          <w:rFonts w:hint="eastAsia"/>
          <w:color w:val="auto"/>
          <w:sz w:val="28"/>
          <w:szCs w:val="28"/>
        </w:rPr>
        <w:t>、刮犁式破坏的发生条件；</w:t>
      </w:r>
    </w:p>
    <w:p w14:paraId="7471EE64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（8）掌握影响钢筋与混凝土粘结强度的因素；</w:t>
      </w:r>
    </w:p>
    <w:p w14:paraId="141D42E1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（9）掌握结构上作用的分类的因素；</w:t>
      </w:r>
    </w:p>
    <w:p w14:paraId="29BFB2DD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（10）</w:t>
      </w:r>
      <w:bookmarkStart w:id="2" w:name="OLE_LINK4"/>
      <w:bookmarkStart w:id="3" w:name="OLE_LINK3"/>
      <w:r>
        <w:rPr>
          <w:rFonts w:hint="eastAsia"/>
          <w:color w:val="auto"/>
          <w:sz w:val="28"/>
          <w:szCs w:val="28"/>
        </w:rPr>
        <w:t>掌握</w:t>
      </w:r>
      <w:bookmarkEnd w:id="2"/>
      <w:bookmarkEnd w:id="3"/>
      <w:r>
        <w:rPr>
          <w:rFonts w:hint="eastAsia"/>
          <w:color w:val="auto"/>
          <w:sz w:val="28"/>
          <w:szCs w:val="28"/>
        </w:rPr>
        <w:t>保护层的作用；</w:t>
      </w:r>
    </w:p>
    <w:p w14:paraId="42EB373A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（11）掌握适筋破坏、超筋破坏、少筋破坏的破坏特征和破坏特点；</w:t>
      </w:r>
    </w:p>
    <w:p w14:paraId="4D4D9B23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bookmarkStart w:id="4" w:name="OLE_LINK6"/>
      <w:bookmarkStart w:id="5" w:name="OLE_LINK5"/>
      <w:r>
        <w:rPr>
          <w:rFonts w:hint="eastAsia"/>
          <w:color w:val="auto"/>
          <w:sz w:val="28"/>
          <w:szCs w:val="28"/>
        </w:rPr>
        <w:t>（12）掌握</w:t>
      </w:r>
      <w:bookmarkEnd w:id="4"/>
      <w:bookmarkEnd w:id="5"/>
      <w:r>
        <w:rPr>
          <w:rFonts w:hint="eastAsia"/>
          <w:color w:val="auto"/>
          <w:sz w:val="28"/>
          <w:szCs w:val="28"/>
        </w:rPr>
        <w:t>双筋矩形截面受弯构件的受压钢筋应力达到屈服强度的充分条件；</w:t>
      </w:r>
    </w:p>
    <w:p w14:paraId="6D98B3AD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（13）掌握斜压破坏、剪压破坏、斜拉破坏的发生条件、发展过程及破坏特征；</w:t>
      </w:r>
    </w:p>
    <w:p w14:paraId="7CB0FBB3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（14）掌握钢筋混凝土受弯构件斜截面抗剪性能的主要影响因素；</w:t>
      </w:r>
    </w:p>
    <w:p w14:paraId="2919B85E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（15）掌握钢筋混凝土受弯构件斜截面复核截面的选择（简支梁和连续梁近边支点梁段）；</w:t>
      </w:r>
    </w:p>
    <w:p w14:paraId="557F359E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（16）掌握裂缝控制的目的；</w:t>
      </w:r>
    </w:p>
    <w:p w14:paraId="49D4B9CD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（17）掌握混凝土结构氯离子侵蚀钢筋混凝土腐蚀破坏过程、混凝土结构碱集料反应发生及破坏混凝土结构过程、混凝土结构冻融循环破坏机理；</w:t>
      </w:r>
    </w:p>
    <w:p w14:paraId="56409D49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（18）掌握普通钢筋混凝土柱设置纵筋、箍筋的目的；</w:t>
      </w:r>
    </w:p>
    <w:p w14:paraId="2C7F6B43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（19）掌握大偏心、小偏心受压钢筋混凝土柱的受力特征及破坏形态；</w:t>
      </w:r>
    </w:p>
    <w:p w14:paraId="4B7D3210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（20）掌握受压钢筋混凝土短柱、长柱及细长柱受压破坏特征；</w:t>
      </w:r>
    </w:p>
    <w:p w14:paraId="1D79FB97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（21）掌握受拉、受压大小偏心构件的判别条件；</w:t>
      </w:r>
    </w:p>
    <w:p w14:paraId="50AD9621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（22）掌握受拉混凝土柱的受力特征及破坏形态；</w:t>
      </w:r>
    </w:p>
    <w:p w14:paraId="579E1962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（23）理解和掌握各种受扭构件的发生条件及破坏特征；</w:t>
      </w:r>
    </w:p>
    <w:p w14:paraId="774A19FB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4）理解先张法后张法的传力机理及施工要点。</w:t>
      </w:r>
    </w:p>
    <w:p w14:paraId="07487589">
      <w:pPr>
        <w:spacing w:line="276" w:lineRule="auto"/>
        <w:outlineLvl w:val="1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（三）实际应用部分</w:t>
      </w:r>
    </w:p>
    <w:p w14:paraId="1D754950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（1）掌握受弯构件截面最大、最小配筋率的计算方法；</w:t>
      </w:r>
    </w:p>
    <w:p w14:paraId="75CD160E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（2）掌握普通钢筋混凝土受弯构件（单筋矩形梁、T梁）正截面抗弯承载力计算方法（复核）；</w:t>
      </w:r>
    </w:p>
    <w:p w14:paraId="58803A8C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（3）掌握普通钢筋混凝土受弯构件（单筋矩形梁、T梁）斜截面抗剪承载力计算方法（复核）；</w:t>
      </w:r>
    </w:p>
    <w:p w14:paraId="5B967E5E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（4）掌握普通钢筋混凝土受弯构件（单筋矩形梁、T梁）抗裂计算方法（复核）；</w:t>
      </w:r>
    </w:p>
    <w:p w14:paraId="5C25D3A6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（5）掌握预应力混凝土受弯构件（单筋矩形梁）正截面抗弯承载力计算方法（复核）；</w:t>
      </w:r>
    </w:p>
    <w:p w14:paraId="661CF4D5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（6）掌握预应力混凝土受弯构件（单筋矩形梁）斜截面抗剪承载力计算方法（复核）；</w:t>
      </w:r>
    </w:p>
    <w:p w14:paraId="4712B03A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（7）掌握大偏心受压构件承载力计算方法（复核）。</w:t>
      </w:r>
    </w:p>
    <w:p w14:paraId="38204F78">
      <w:pPr>
        <w:spacing w:line="276" w:lineRule="auto"/>
        <w:outlineLvl w:val="1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（四）综合分析部分</w:t>
      </w:r>
    </w:p>
    <w:p w14:paraId="640AD5FD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</w:t>
      </w:r>
      <w:r>
        <w:rPr>
          <w:color w:val="auto"/>
          <w:sz w:val="28"/>
          <w:szCs w:val="28"/>
        </w:rPr>
        <w:t>混凝土在单调短期加载下的</w:t>
      </w:r>
      <w:r>
        <w:rPr>
          <w:rFonts w:hint="eastAsia"/>
          <w:color w:val="auto"/>
          <w:sz w:val="28"/>
          <w:szCs w:val="28"/>
        </w:rPr>
        <w:t>各个阶段的受力发展特征；</w:t>
      </w:r>
    </w:p>
    <w:p w14:paraId="4ECEBD59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</w:t>
      </w:r>
      <w:r>
        <w:rPr>
          <w:color w:val="auto"/>
          <w:sz w:val="28"/>
          <w:szCs w:val="28"/>
        </w:rPr>
        <w:t>光圆钢筋</w:t>
      </w:r>
      <w:r>
        <w:rPr>
          <w:rFonts w:hint="eastAsia"/>
          <w:color w:val="auto"/>
          <w:sz w:val="28"/>
          <w:szCs w:val="28"/>
        </w:rPr>
        <w:t>、带肋钢筋</w:t>
      </w:r>
      <w:r>
        <w:rPr>
          <w:color w:val="auto"/>
          <w:sz w:val="28"/>
          <w:szCs w:val="28"/>
        </w:rPr>
        <w:t>的粘结破坏</w:t>
      </w:r>
      <w:r>
        <w:rPr>
          <w:rFonts w:hint="eastAsia"/>
          <w:color w:val="auto"/>
          <w:sz w:val="28"/>
          <w:szCs w:val="28"/>
        </w:rPr>
        <w:t>发展过程，并绘制相关</w:t>
      </w:r>
      <w:r>
        <w:rPr>
          <w:color w:val="auto"/>
          <w:sz w:val="28"/>
          <w:szCs w:val="28"/>
        </w:rPr>
        <w:t>τ-s曲线</w:t>
      </w:r>
      <w:r>
        <w:rPr>
          <w:rFonts w:hint="eastAsia"/>
          <w:color w:val="auto"/>
          <w:sz w:val="28"/>
          <w:szCs w:val="28"/>
        </w:rPr>
        <w:t>图；</w:t>
      </w:r>
    </w:p>
    <w:p w14:paraId="363E26B4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（3）掌握钢筋混凝土适筋梁正截面工作的三个阶段；</w:t>
      </w:r>
    </w:p>
    <w:p w14:paraId="02400F2F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（4）掌握受弯构件正截面承载力四个基本假定；</w:t>
      </w:r>
    </w:p>
    <w:p w14:paraId="126B9BF8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（5）掌握提高混凝土结构耐久性的技术措施和设计内容；</w:t>
      </w:r>
    </w:p>
    <w:p w14:paraId="524B0A80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（6）掌握预应力度及预应力度结构类型；</w:t>
      </w:r>
    </w:p>
    <w:p w14:paraId="22D54A08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（7）掌握预应力混凝土结构的三种概念；</w:t>
      </w:r>
    </w:p>
    <w:p w14:paraId="009BB26F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（8）掌握受弯构件梁沿斜截面破坏的主要形态；</w:t>
      </w:r>
    </w:p>
    <w:p w14:paraId="100CD3D0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（9）掌握并分析影响结构裂缝宽度的因素；</w:t>
      </w:r>
    </w:p>
    <w:p w14:paraId="46E46B59">
      <w:pPr>
        <w:spacing w:line="276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（10）掌握结构达到承载能力极限状态的标志和状态。</w:t>
      </w:r>
    </w:p>
    <w:p w14:paraId="53D6F94C">
      <w:pPr>
        <w:pStyle w:val="14"/>
        <w:numPr>
          <w:ilvl w:val="0"/>
          <w:numId w:val="1"/>
        </w:numPr>
        <w:spacing w:line="276" w:lineRule="auto"/>
        <w:ind w:firstLine="0" w:firstLineChars="0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考试用具说明</w:t>
      </w:r>
    </w:p>
    <w:p w14:paraId="1E3801F4">
      <w:pPr>
        <w:spacing w:line="27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考试可携带的工具：黑色钢笔或黑色签字笔、直尺、铅笔、橡皮。</w:t>
      </w:r>
    </w:p>
    <w:p w14:paraId="069874F3">
      <w:pPr>
        <w:pStyle w:val="14"/>
        <w:numPr>
          <w:ilvl w:val="0"/>
          <w:numId w:val="1"/>
        </w:numPr>
        <w:spacing w:line="276" w:lineRule="auto"/>
        <w:ind w:firstLine="0" w:firstLineChars="0"/>
        <w:outlineLvl w:val="0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参考书目或参考资料</w:t>
      </w:r>
    </w:p>
    <w:p w14:paraId="3CC7060E">
      <w:pPr>
        <w:pStyle w:val="14"/>
        <w:numPr>
          <w:ilvl w:val="0"/>
          <w:numId w:val="2"/>
        </w:numPr>
        <w:spacing w:line="276" w:lineRule="auto"/>
        <w:ind w:left="560" w:hanging="560" w:hanging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叶见曙.《结构设计原理》（第五版）</w:t>
      </w:r>
      <w:r>
        <w:rPr>
          <w:color w:val="auto"/>
          <w:sz w:val="28"/>
          <w:szCs w:val="28"/>
        </w:rPr>
        <w:t>[M]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北京</w:t>
      </w:r>
      <w:r>
        <w:rPr>
          <w:rFonts w:hint="eastAsia"/>
          <w:color w:val="auto"/>
          <w:sz w:val="28"/>
          <w:szCs w:val="28"/>
        </w:rPr>
        <w:t>：</w:t>
      </w:r>
      <w:r>
        <w:rPr>
          <w:color w:val="auto"/>
          <w:sz w:val="28"/>
          <w:szCs w:val="28"/>
        </w:rPr>
        <w:t>人民交通出版社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20</w:t>
      </w:r>
      <w:r>
        <w:rPr>
          <w:rFonts w:hint="eastAsia"/>
          <w:color w:val="auto"/>
          <w:sz w:val="28"/>
          <w:szCs w:val="28"/>
        </w:rPr>
        <w:t>21.</w:t>
      </w:r>
    </w:p>
    <w:p w14:paraId="0B4AE9BB">
      <w:pPr>
        <w:pStyle w:val="14"/>
        <w:numPr>
          <w:ilvl w:val="0"/>
          <w:numId w:val="2"/>
        </w:numPr>
        <w:spacing w:line="276" w:lineRule="auto"/>
        <w:ind w:left="560" w:hanging="560" w:hanging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《公路桥涵设计通用规范》（JTG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D60-2015）.</w:t>
      </w:r>
    </w:p>
    <w:p w14:paraId="6C2877A2">
      <w:pPr>
        <w:pStyle w:val="14"/>
        <w:numPr>
          <w:ilvl w:val="0"/>
          <w:numId w:val="2"/>
        </w:numPr>
        <w:spacing w:line="276" w:lineRule="auto"/>
        <w:ind w:left="560" w:hanging="560" w:hanging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《公路钢筋混凝土及预应力混凝土桥涵设计规范》（JTG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3362-2018）.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EBB1F"/>
    <w:multiLevelType w:val="singleLevel"/>
    <w:tmpl w:val="928EBB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47E9E0"/>
    <w:multiLevelType w:val="singleLevel"/>
    <w:tmpl w:val="1E47E9E0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WZkOTUxYzhkMmMzM2IyYjcyOGZjNTM3MGY3NDMifQ=="/>
  </w:docVars>
  <w:rsids>
    <w:rsidRoot w:val="00172A27"/>
    <w:rsid w:val="00016017"/>
    <w:rsid w:val="00057954"/>
    <w:rsid w:val="000959B7"/>
    <w:rsid w:val="00122474"/>
    <w:rsid w:val="00134510"/>
    <w:rsid w:val="00137819"/>
    <w:rsid w:val="001521F8"/>
    <w:rsid w:val="00185FCD"/>
    <w:rsid w:val="001A2452"/>
    <w:rsid w:val="001D5C1A"/>
    <w:rsid w:val="001E0F6D"/>
    <w:rsid w:val="002A43B1"/>
    <w:rsid w:val="002B23BC"/>
    <w:rsid w:val="00303719"/>
    <w:rsid w:val="003446B0"/>
    <w:rsid w:val="0035052B"/>
    <w:rsid w:val="00350BFB"/>
    <w:rsid w:val="00385E22"/>
    <w:rsid w:val="00397E5A"/>
    <w:rsid w:val="003A0818"/>
    <w:rsid w:val="003B4C13"/>
    <w:rsid w:val="003E2163"/>
    <w:rsid w:val="004567C8"/>
    <w:rsid w:val="00497BB2"/>
    <w:rsid w:val="005E504D"/>
    <w:rsid w:val="00600E49"/>
    <w:rsid w:val="00617718"/>
    <w:rsid w:val="00675503"/>
    <w:rsid w:val="006913F7"/>
    <w:rsid w:val="007965BD"/>
    <w:rsid w:val="00816E1D"/>
    <w:rsid w:val="00854A06"/>
    <w:rsid w:val="008B311E"/>
    <w:rsid w:val="008F04C4"/>
    <w:rsid w:val="00902843"/>
    <w:rsid w:val="00906D21"/>
    <w:rsid w:val="00932F04"/>
    <w:rsid w:val="00952AF7"/>
    <w:rsid w:val="00993DE7"/>
    <w:rsid w:val="009945E2"/>
    <w:rsid w:val="009A27FC"/>
    <w:rsid w:val="009D0274"/>
    <w:rsid w:val="009D4BAF"/>
    <w:rsid w:val="00A05F50"/>
    <w:rsid w:val="00A21FF9"/>
    <w:rsid w:val="00A63FC8"/>
    <w:rsid w:val="00AA0A99"/>
    <w:rsid w:val="00B54D33"/>
    <w:rsid w:val="00B64C3E"/>
    <w:rsid w:val="00B80684"/>
    <w:rsid w:val="00BA646B"/>
    <w:rsid w:val="00BC61C8"/>
    <w:rsid w:val="00BD5C0B"/>
    <w:rsid w:val="00C00D22"/>
    <w:rsid w:val="00C362B9"/>
    <w:rsid w:val="00C61CD8"/>
    <w:rsid w:val="00C91D5B"/>
    <w:rsid w:val="00CA0316"/>
    <w:rsid w:val="00CE1CAC"/>
    <w:rsid w:val="00CF2A50"/>
    <w:rsid w:val="00D23A21"/>
    <w:rsid w:val="00D36A0E"/>
    <w:rsid w:val="00DB4B35"/>
    <w:rsid w:val="00E127BD"/>
    <w:rsid w:val="00E14EC3"/>
    <w:rsid w:val="00E16FEA"/>
    <w:rsid w:val="00E20D88"/>
    <w:rsid w:val="00E74F28"/>
    <w:rsid w:val="00E80E88"/>
    <w:rsid w:val="00F25D81"/>
    <w:rsid w:val="00F268FE"/>
    <w:rsid w:val="00F401A9"/>
    <w:rsid w:val="00FE0535"/>
    <w:rsid w:val="031B609C"/>
    <w:rsid w:val="049068BC"/>
    <w:rsid w:val="12DC659C"/>
    <w:rsid w:val="268649C5"/>
    <w:rsid w:val="2D0766A9"/>
    <w:rsid w:val="339063D1"/>
    <w:rsid w:val="37B71F02"/>
    <w:rsid w:val="387D7AC1"/>
    <w:rsid w:val="46B16A5B"/>
    <w:rsid w:val="46B57399"/>
    <w:rsid w:val="48EE1D18"/>
    <w:rsid w:val="4DD2194F"/>
    <w:rsid w:val="53D93F45"/>
    <w:rsid w:val="54B16ABA"/>
    <w:rsid w:val="641E35A4"/>
    <w:rsid w:val="6B3B3871"/>
    <w:rsid w:val="6DBC6BE0"/>
    <w:rsid w:val="7A737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kern w:val="2"/>
      <w:sz w:val="21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批注主题 字符"/>
    <w:link w:val="6"/>
    <w:uiPriority w:val="0"/>
    <w:rPr>
      <w:b/>
      <w:bCs/>
      <w:kern w:val="2"/>
      <w:sz w:val="21"/>
    </w:rPr>
  </w:style>
  <w:style w:type="paragraph" w:customStyle="1" w:styleId="13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styleId="15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1983</Words>
  <Characters>2078</Characters>
  <Lines>15</Lines>
  <Paragraphs>4</Paragraphs>
  <TotalTime>0</TotalTime>
  <ScaleCrop>false</ScaleCrop>
  <LinksUpToDate>false</LinksUpToDate>
  <CharactersWithSpaces>2080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2024-09-25T01:42:00Z</dcterms:created>
  <dc:creator>dell</dc:creator>
  <cp:lastModifiedBy>vertesyuan</cp:lastModifiedBy>
  <cp:lastPrinted>2023-07-14T00:36:00Z</cp:lastPrinted>
  <dcterms:modified xsi:type="dcterms:W3CDTF">2024-10-10T08:00:52Z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EF88403A84A04EA6ADDD908CEA2D7392_13</vt:lpwstr>
  </property>
</Properties>
</file>