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CFF7A">
      <w:pPr>
        <w:spacing w:after="312" w:afterLines="1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u w:val="single"/>
        </w:rPr>
        <w:t>2025</w:t>
      </w:r>
      <w:r>
        <w:rPr>
          <w:rFonts w:hint="eastAsia" w:ascii="宋体" w:hAnsi="宋体"/>
          <w:b/>
          <w:sz w:val="36"/>
          <w:szCs w:val="36"/>
        </w:rPr>
        <w:t>年硕士研究生入学考试专业课考试大纲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4944"/>
      </w:tblGrid>
      <w:tr w14:paraId="5E05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3531" w:type="dxa"/>
            <w:noWrap w:val="0"/>
            <w:vAlign w:val="center"/>
          </w:tcPr>
          <w:p w14:paraId="39E082D4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考试科目代码：854</w:t>
            </w:r>
          </w:p>
        </w:tc>
        <w:tc>
          <w:tcPr>
            <w:tcW w:w="4944" w:type="dxa"/>
            <w:noWrap w:val="0"/>
            <w:vAlign w:val="center"/>
          </w:tcPr>
          <w:p w14:paraId="5ADC4A94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考试科目名称：光学</w:t>
            </w:r>
          </w:p>
        </w:tc>
      </w:tr>
      <w:tr w14:paraId="4F6F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6D2C77E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3F47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67" w:hRule="atLeast"/>
        </w:trPr>
        <w:tc>
          <w:tcPr>
            <w:tcW w:w="8475" w:type="dxa"/>
            <w:gridSpan w:val="2"/>
            <w:noWrap w:val="0"/>
            <w:vAlign w:val="top"/>
          </w:tcPr>
          <w:p w14:paraId="73C7C2BE">
            <w:pPr>
              <w:widowControl/>
              <w:spacing w:line="44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t>光学</w:t>
            </w:r>
            <w:r>
              <w:rPr>
                <w:rFonts w:hint="eastAsia"/>
              </w:rPr>
              <w:t>研究生入学考试是为</w:t>
            </w:r>
            <w:r>
              <w:rPr>
                <w:rFonts w:hAnsi="宋体"/>
                <w:szCs w:val="21"/>
              </w:rPr>
              <w:t>所招收与</w:t>
            </w:r>
            <w:r>
              <w:rPr>
                <w:rFonts w:hint="eastAsia" w:hAnsi="宋体"/>
                <w:szCs w:val="21"/>
              </w:rPr>
              <w:t>光学</w:t>
            </w:r>
            <w:r>
              <w:rPr>
                <w:rFonts w:hAnsi="宋体"/>
                <w:szCs w:val="21"/>
              </w:rPr>
              <w:t>有关专业硕士研究生而实施的具有选拔功能的水平考试。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它的主要目的是测试学生对光学的核心内容光的干涉、衍射、偏振，几何光学及光学仪器的基本原理，光的量子性的掌握程度。要求学生对光学内容有比较系统和全面的了解和掌握，并能够运用光学</w:t>
            </w:r>
            <w:r>
              <w:rPr>
                <w:rFonts w:hAnsi="宋体"/>
                <w:szCs w:val="21"/>
              </w:rPr>
              <w:t>的基本概念</w:t>
            </w:r>
            <w:r>
              <w:rPr>
                <w:rFonts w:hint="eastAsia" w:hAnsi="宋体"/>
                <w:szCs w:val="21"/>
              </w:rPr>
              <w:t>、</w:t>
            </w:r>
            <w:r>
              <w:rPr>
                <w:rFonts w:hAnsi="宋体"/>
                <w:szCs w:val="21"/>
              </w:rPr>
              <w:t>基本理论</w:t>
            </w:r>
            <w:r>
              <w:rPr>
                <w:rFonts w:hint="eastAsia" w:hAnsi="宋体"/>
                <w:szCs w:val="21"/>
              </w:rPr>
              <w:t>分析处理光学</w:t>
            </w:r>
            <w:r>
              <w:rPr>
                <w:rFonts w:hint="eastAsia"/>
              </w:rPr>
              <w:t>领域中规律性的问题，正确地反映客观世界</w:t>
            </w:r>
            <w:r>
              <w:rPr>
                <w:rFonts w:hint="eastAsia" w:hAnsi="宋体"/>
                <w:szCs w:val="21"/>
              </w:rPr>
              <w:t>。 同时需具有对一般光学问题进行理论分析和计算的能力。</w:t>
            </w:r>
          </w:p>
          <w:p w14:paraId="1C19CC12">
            <w:pPr>
              <w:widowControl/>
              <w:spacing w:line="44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  <w:tr w14:paraId="215C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139636AA"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考试内容</w:t>
            </w:r>
          </w:p>
        </w:tc>
      </w:tr>
      <w:tr w14:paraId="6CBB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3" w:hRule="atLeast"/>
        </w:trPr>
        <w:tc>
          <w:tcPr>
            <w:tcW w:w="8475" w:type="dxa"/>
            <w:gridSpan w:val="2"/>
            <w:noWrap w:val="0"/>
            <w:vAlign w:val="top"/>
          </w:tcPr>
          <w:p w14:paraId="05C112DD">
            <w:pPr>
              <w:spacing w:line="30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1.光的干涉</w:t>
            </w:r>
          </w:p>
          <w:p w14:paraId="4D65BFD8">
            <w:pPr>
              <w:numPr>
                <w:ilvl w:val="0"/>
                <w:numId w:val="2"/>
              </w:numPr>
              <w:spacing w:line="30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分波面的双光束干涉</w:t>
            </w:r>
          </w:p>
          <w:p w14:paraId="1FD2B2C9">
            <w:pPr>
              <w:numPr>
                <w:ilvl w:val="0"/>
                <w:numId w:val="2"/>
              </w:numPr>
              <w:spacing w:line="300" w:lineRule="auto"/>
              <w:rPr>
                <w:rFonts w:hint="eastAsia" w:ascii="宋体" w:hAnsi="宋体" w:cs="宋体"/>
              </w:rPr>
            </w:pPr>
            <w:r>
              <w:t>等倾干涉</w:t>
            </w:r>
          </w:p>
          <w:p w14:paraId="666052E4">
            <w:pPr>
              <w:numPr>
                <w:ilvl w:val="0"/>
                <w:numId w:val="2"/>
              </w:numPr>
              <w:spacing w:line="300" w:lineRule="auto"/>
              <w:rPr>
                <w:rFonts w:hint="eastAsia" w:ascii="宋体" w:hAnsi="宋体" w:cs="宋体"/>
              </w:rPr>
            </w:pPr>
            <w:r>
              <w:rPr>
                <w:szCs w:val="21"/>
              </w:rPr>
              <w:t>等厚干涉</w:t>
            </w:r>
          </w:p>
          <w:p w14:paraId="3DFA17AA">
            <w:pPr>
              <w:numPr>
                <w:ilvl w:val="0"/>
                <w:numId w:val="2"/>
              </w:num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迈克耳孙干涉仪</w:t>
            </w:r>
          </w:p>
          <w:p w14:paraId="55D6709A">
            <w:pPr>
              <w:numPr>
                <w:ilvl w:val="0"/>
                <w:numId w:val="2"/>
              </w:numPr>
              <w:spacing w:line="300" w:lineRule="auto"/>
              <w:rPr>
                <w:szCs w:val="21"/>
              </w:rPr>
            </w:pPr>
            <w:r>
              <w:t xml:space="preserve">法布里—珀罗干涉仪  </w:t>
            </w:r>
            <w:r>
              <w:rPr>
                <w:szCs w:val="21"/>
              </w:rPr>
              <w:t>多光束干涉</w:t>
            </w:r>
          </w:p>
          <w:p w14:paraId="7DC830ED">
            <w:pPr>
              <w:numPr>
                <w:ilvl w:val="0"/>
                <w:numId w:val="2"/>
              </w:numPr>
              <w:spacing w:line="300" w:lineRule="auto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光的</w:t>
            </w:r>
            <w:r>
              <w:t xml:space="preserve">干涉应用  </w:t>
            </w:r>
            <w:r>
              <w:rPr>
                <w:rFonts w:hint="eastAsia"/>
              </w:rPr>
              <w:t>劈尖 牛顿环</w:t>
            </w:r>
          </w:p>
          <w:p w14:paraId="74B488D7">
            <w:pPr>
              <w:numPr>
                <w:ilvl w:val="0"/>
                <w:numId w:val="3"/>
              </w:num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光的衍射</w:t>
            </w:r>
          </w:p>
          <w:p w14:paraId="6FC63ACF"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</w:rPr>
            </w:pPr>
            <w:r>
              <w:t>惠更斯</w:t>
            </w:r>
            <w:r>
              <w:rPr>
                <w:rFonts w:hint="eastAsia"/>
              </w:rPr>
              <w:t>——</w:t>
            </w:r>
            <w:r>
              <w:t>菲涅耳原理</w:t>
            </w:r>
          </w:p>
          <w:p w14:paraId="4D43474A"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</w:rPr>
            </w:pPr>
            <w:r>
              <w:t xml:space="preserve"> 菲涅耳半波带</w:t>
            </w:r>
          </w:p>
          <w:p w14:paraId="4E8DCEEB"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</w:rPr>
            </w:pPr>
            <w:r>
              <w:t>菲涅耳衍射（圆孔和圆屏）</w:t>
            </w:r>
          </w:p>
          <w:p w14:paraId="76972F8B"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</w:rPr>
            </w:pPr>
            <w:r>
              <w:t>夫琅禾费单缝衍射</w:t>
            </w:r>
          </w:p>
          <w:p w14:paraId="5B237D03"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</w:rPr>
            </w:pPr>
            <w:r>
              <w:t>夫琅禾费圆孔衍射</w:t>
            </w:r>
          </w:p>
          <w:p w14:paraId="45296EA8"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</w:rPr>
            </w:pPr>
            <w:r>
              <w:t>平面衍射光栅</w:t>
            </w:r>
          </w:p>
          <w:p w14:paraId="6662284C">
            <w:pPr>
              <w:numPr>
                <w:ilvl w:val="0"/>
                <w:numId w:val="3"/>
              </w:numPr>
              <w:tabs>
                <w:tab w:val="clear" w:pos="312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光的偏振</w:t>
            </w:r>
          </w:p>
          <w:p w14:paraId="148BFA56">
            <w:pPr>
              <w:numPr>
                <w:ilvl w:val="0"/>
                <w:numId w:val="5"/>
              </w:numPr>
              <w:spacing w:line="300" w:lineRule="auto"/>
              <w:rPr>
                <w:rFonts w:hint="eastAsia"/>
              </w:rPr>
            </w:pPr>
            <w:r>
              <w:t>自然光与偏振光</w:t>
            </w:r>
            <w:r>
              <w:rPr>
                <w:rFonts w:hint="eastAsia"/>
              </w:rPr>
              <w:t>，</w:t>
            </w:r>
            <w:r>
              <w:t>线偏振光与部分偏振光</w:t>
            </w:r>
            <w:r>
              <w:rPr>
                <w:rFonts w:hint="eastAsia"/>
              </w:rPr>
              <w:t>，</w:t>
            </w:r>
            <w:r>
              <w:t>椭圆偏振光和圆偏振光</w:t>
            </w:r>
          </w:p>
          <w:p w14:paraId="40EA1CB3">
            <w:pPr>
              <w:numPr>
                <w:ilvl w:val="0"/>
                <w:numId w:val="5"/>
              </w:numPr>
              <w:spacing w:line="300" w:lineRule="auto"/>
              <w:rPr>
                <w:szCs w:val="21"/>
              </w:rPr>
            </w:pPr>
            <w:r>
              <w:t>双折射现象</w:t>
            </w:r>
          </w:p>
          <w:p w14:paraId="4061FA66">
            <w:pPr>
              <w:numPr>
                <w:ilvl w:val="0"/>
                <w:numId w:val="5"/>
              </w:numPr>
              <w:spacing w:line="300" w:lineRule="auto"/>
              <w:rPr>
                <w:szCs w:val="21"/>
              </w:rPr>
            </w:pPr>
            <w:r>
              <w:t>光在晶体中的波面</w:t>
            </w:r>
            <w:r>
              <w:rPr>
                <w:rFonts w:hint="eastAsia"/>
              </w:rPr>
              <w:t>及传播方向</w:t>
            </w:r>
          </w:p>
          <w:p w14:paraId="62FCAC77">
            <w:pPr>
              <w:numPr>
                <w:ilvl w:val="0"/>
                <w:numId w:val="5"/>
              </w:numPr>
              <w:spacing w:line="300" w:lineRule="auto"/>
            </w:pPr>
            <w:r>
              <w:t>偏振器件</w:t>
            </w:r>
          </w:p>
          <w:p w14:paraId="550B8014">
            <w:pPr>
              <w:numPr>
                <w:ilvl w:val="0"/>
                <w:numId w:val="5"/>
              </w:numPr>
              <w:spacing w:line="300" w:lineRule="auto"/>
            </w:pPr>
            <w:r>
              <w:t>偏振态的实验检验</w:t>
            </w:r>
          </w:p>
          <w:p w14:paraId="74D07D07">
            <w:pPr>
              <w:numPr>
                <w:ilvl w:val="0"/>
                <w:numId w:val="5"/>
              </w:numPr>
              <w:spacing w:line="300" w:lineRule="auto"/>
            </w:pPr>
            <w:r>
              <w:t>偏振光的干涉</w:t>
            </w:r>
          </w:p>
          <w:p w14:paraId="7D32F706">
            <w:pPr>
              <w:numPr>
                <w:ilvl w:val="0"/>
                <w:numId w:val="3"/>
              </w:numPr>
              <w:tabs>
                <w:tab w:val="clear" w:pos="312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几何光学</w:t>
            </w:r>
          </w:p>
          <w:p w14:paraId="51E34A3B">
            <w:pPr>
              <w:numPr>
                <w:ilvl w:val="0"/>
                <w:numId w:val="6"/>
              </w:numPr>
              <w:spacing w:line="300" w:lineRule="auto"/>
              <w:rPr>
                <w:rFonts w:hint="eastAsia"/>
              </w:rPr>
            </w:pPr>
            <w:r>
              <w:rPr>
                <w:bCs/>
                <w:szCs w:val="21"/>
              </w:rPr>
              <w:t>几何光学的基本实验定律</w:t>
            </w:r>
          </w:p>
          <w:p w14:paraId="45BCA89F">
            <w:pPr>
              <w:numPr>
                <w:ilvl w:val="0"/>
                <w:numId w:val="6"/>
              </w:numPr>
              <w:spacing w:line="300" w:lineRule="auto"/>
              <w:rPr>
                <w:rFonts w:hint="eastAsia" w:ascii="黑体" w:hAnsi="黑体" w:eastAsia="黑体" w:cs="黑体"/>
              </w:rPr>
            </w:pPr>
            <w:r>
              <w:t>费马原理</w:t>
            </w:r>
          </w:p>
          <w:p w14:paraId="6F20A7B0">
            <w:pPr>
              <w:numPr>
                <w:ilvl w:val="0"/>
                <w:numId w:val="6"/>
              </w:numPr>
              <w:spacing w:line="300" w:lineRule="auto"/>
              <w:rPr>
                <w:rFonts w:hint="eastAsia" w:ascii="黑体" w:hAnsi="黑体" w:eastAsia="黑体" w:cs="黑体"/>
              </w:rPr>
            </w:pPr>
            <w:r>
              <w:t>光在平面</w:t>
            </w:r>
            <w:r>
              <w:rPr>
                <w:rFonts w:hint="eastAsia"/>
              </w:rPr>
              <w:t>界面</w:t>
            </w:r>
            <w:r>
              <w:t>上的反射和折射</w:t>
            </w:r>
          </w:p>
          <w:p w14:paraId="1C0F3152">
            <w:pPr>
              <w:numPr>
                <w:ilvl w:val="0"/>
                <w:numId w:val="6"/>
              </w:numPr>
              <w:spacing w:line="300" w:lineRule="auto"/>
              <w:rPr>
                <w:rFonts w:hint="eastAsia" w:ascii="黑体" w:hAnsi="黑体" w:eastAsia="黑体" w:cs="黑体"/>
              </w:rPr>
            </w:pPr>
            <w:r>
              <w:t>光在</w:t>
            </w:r>
            <w:r>
              <w:rPr>
                <w:rFonts w:hint="eastAsia"/>
              </w:rPr>
              <w:t>球</w:t>
            </w:r>
            <w:r>
              <w:t>面上的反射和折射</w:t>
            </w:r>
          </w:p>
          <w:p w14:paraId="5E20A04A">
            <w:pPr>
              <w:numPr>
                <w:ilvl w:val="0"/>
                <w:numId w:val="6"/>
              </w:numPr>
              <w:spacing w:line="300" w:lineRule="auto"/>
              <w:rPr>
                <w:rFonts w:hint="eastAsia" w:ascii="黑体" w:hAnsi="黑体" w:eastAsia="黑体" w:cs="黑体"/>
              </w:rPr>
            </w:pPr>
            <w:r>
              <w:t>光连续在几个球面</w:t>
            </w:r>
            <w:r>
              <w:rPr>
                <w:rFonts w:hint="eastAsia"/>
              </w:rPr>
              <w:t>界面</w:t>
            </w:r>
            <w:r>
              <w:t>上的折射</w:t>
            </w:r>
          </w:p>
          <w:p w14:paraId="455A10A8">
            <w:pPr>
              <w:numPr>
                <w:ilvl w:val="0"/>
                <w:numId w:val="6"/>
              </w:numPr>
              <w:spacing w:line="300" w:lineRule="auto"/>
              <w:rPr>
                <w:rFonts w:hint="eastAsia" w:ascii="黑体" w:hAnsi="黑体" w:eastAsia="黑体" w:cs="黑体"/>
              </w:rPr>
            </w:pPr>
            <w:r>
              <w:t>薄透镜</w:t>
            </w:r>
            <w:r>
              <w:rPr>
                <w:rFonts w:hint="eastAsia"/>
              </w:rPr>
              <w:t>成像</w:t>
            </w:r>
          </w:p>
          <w:p w14:paraId="417AD220">
            <w:pPr>
              <w:numPr>
                <w:ilvl w:val="0"/>
                <w:numId w:val="3"/>
              </w:numPr>
              <w:tabs>
                <w:tab w:val="clear" w:pos="312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光学仪器的基本原理</w:t>
            </w:r>
          </w:p>
          <w:p w14:paraId="783D7EA7">
            <w:pPr>
              <w:numPr>
                <w:ilvl w:val="0"/>
                <w:numId w:val="7"/>
              </w:numPr>
              <w:tabs>
                <w:tab w:val="left" w:pos="0"/>
              </w:tabs>
              <w:spacing w:line="300" w:lineRule="auto"/>
              <w:rPr>
                <w:rFonts w:hint="eastAsia"/>
              </w:rPr>
            </w:pPr>
            <w:r>
              <w:t xml:space="preserve">助视仪器的放大本领 </w:t>
            </w:r>
          </w:p>
          <w:p w14:paraId="028FBFB0">
            <w:pPr>
              <w:numPr>
                <w:ilvl w:val="0"/>
                <w:numId w:val="7"/>
              </w:numPr>
              <w:tabs>
                <w:tab w:val="left" w:pos="0"/>
              </w:tabs>
              <w:spacing w:line="300" w:lineRule="auto"/>
            </w:pPr>
            <w:r>
              <w:t>显微镜的放大本领</w:t>
            </w:r>
          </w:p>
          <w:p w14:paraId="7A0AB81A">
            <w:pPr>
              <w:numPr>
                <w:ilvl w:val="0"/>
                <w:numId w:val="7"/>
              </w:numPr>
              <w:tabs>
                <w:tab w:val="left" w:pos="0"/>
              </w:tabs>
              <w:spacing w:line="300" w:lineRule="auto"/>
            </w:pPr>
            <w:r>
              <w:t>望远镜的放大本领</w:t>
            </w:r>
          </w:p>
          <w:p w14:paraId="59E652EF">
            <w:pPr>
              <w:numPr>
                <w:ilvl w:val="0"/>
                <w:numId w:val="7"/>
              </w:numPr>
              <w:tabs>
                <w:tab w:val="left" w:pos="0"/>
              </w:tabs>
              <w:spacing w:line="300" w:lineRule="auto"/>
            </w:pPr>
            <w:r>
              <w:t>助视仪器的</w:t>
            </w:r>
            <w:r>
              <w:rPr>
                <w:rFonts w:hint="eastAsia"/>
              </w:rPr>
              <w:t>像</w:t>
            </w:r>
            <w:r>
              <w:t>分辨本领</w:t>
            </w:r>
          </w:p>
          <w:p w14:paraId="43EE78ED">
            <w:pPr>
              <w:numPr>
                <w:ilvl w:val="0"/>
                <w:numId w:val="7"/>
              </w:numPr>
              <w:tabs>
                <w:tab w:val="left" w:pos="0"/>
              </w:tabs>
              <w:spacing w:line="300" w:lineRule="auto"/>
            </w:pPr>
            <w:r>
              <w:t>分光仪器的</w:t>
            </w:r>
            <w:r>
              <w:rPr>
                <w:rFonts w:hint="eastAsia"/>
              </w:rPr>
              <w:t>色</w:t>
            </w:r>
            <w:r>
              <w:t>分辨本领</w:t>
            </w:r>
          </w:p>
          <w:p w14:paraId="39F8C413">
            <w:pPr>
              <w:numPr>
                <w:ilvl w:val="0"/>
                <w:numId w:val="3"/>
              </w:numPr>
              <w:tabs>
                <w:tab w:val="clear" w:pos="312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光的量子性</w:t>
            </w:r>
          </w:p>
          <w:p w14:paraId="2D1945D2"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</w:rPr>
            </w:pPr>
            <w:r>
              <w:rPr>
                <w:bCs/>
                <w:szCs w:val="21"/>
              </w:rPr>
              <w:t>黑体的经典辐射定律</w:t>
            </w:r>
          </w:p>
          <w:p w14:paraId="3E89C6D3"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</w:rPr>
            </w:pPr>
            <w:r>
              <w:rPr>
                <w:bCs/>
                <w:szCs w:val="21"/>
              </w:rPr>
              <w:t>光电效应及其实验规律</w:t>
            </w:r>
          </w:p>
          <w:p w14:paraId="12352251"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</w:rPr>
            </w:pPr>
            <w:r>
              <w:rPr>
                <w:bCs/>
                <w:szCs w:val="21"/>
              </w:rPr>
              <w:t>爱因斯坦光电效应方程</w:t>
            </w:r>
          </w:p>
          <w:p w14:paraId="2E08FC80"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</w:rPr>
            </w:pPr>
            <w:r>
              <w:t>康普顿效应</w:t>
            </w:r>
          </w:p>
          <w:p w14:paraId="5A3B13CD"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德布罗意</w:t>
            </w:r>
            <w:r>
              <w:rPr>
                <w:bCs/>
                <w:szCs w:val="21"/>
              </w:rPr>
              <w:t>波</w:t>
            </w:r>
          </w:p>
          <w:p w14:paraId="3B9121B9">
            <w:pPr>
              <w:numPr>
                <w:ilvl w:val="0"/>
                <w:numId w:val="8"/>
              </w:numPr>
              <w:spacing w:line="300" w:lineRule="auto"/>
              <w:rPr>
                <w:rFonts w:hint="eastAsia" w:ascii="宋体" w:hAnsi="宋体"/>
              </w:rPr>
            </w:pPr>
            <w:r>
              <w:t>波粒二象性</w:t>
            </w:r>
          </w:p>
        </w:tc>
      </w:tr>
      <w:tr w14:paraId="2869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2BD4FD3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3EC4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9" w:hRule="atLeast"/>
        </w:trPr>
        <w:tc>
          <w:tcPr>
            <w:tcW w:w="8475" w:type="dxa"/>
            <w:gridSpan w:val="2"/>
            <w:noWrap w:val="0"/>
            <w:vAlign w:val="top"/>
          </w:tcPr>
          <w:p w14:paraId="1E1896B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选择题 (共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0分)</w:t>
            </w:r>
          </w:p>
          <w:p w14:paraId="21730D5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2、作图题</w:t>
            </w:r>
            <w:r>
              <w:rPr>
                <w:rFonts w:ascii="宋体" w:hAnsi="宋体"/>
                <w:szCs w:val="21"/>
              </w:rPr>
              <w:t>(共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分)</w:t>
            </w:r>
          </w:p>
          <w:p w14:paraId="7FFA8E7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简答</w:t>
            </w:r>
            <w:r>
              <w:rPr>
                <w:rFonts w:hint="eastAsia" w:ascii="宋体" w:hAnsi="宋体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54C1EA3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计算题（共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题，每题1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29BD3845">
            <w:pPr>
              <w:spacing w:line="360" w:lineRule="auto"/>
              <w:rPr>
                <w:rFonts w:hint="eastAsia"/>
              </w:rPr>
            </w:pPr>
          </w:p>
        </w:tc>
      </w:tr>
      <w:tr w14:paraId="5F23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095648D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2CA6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8" w:hRule="atLeast"/>
        </w:trPr>
        <w:tc>
          <w:tcPr>
            <w:tcW w:w="8475" w:type="dxa"/>
            <w:gridSpan w:val="2"/>
            <w:noWrap w:val="0"/>
            <w:vAlign w:val="top"/>
          </w:tcPr>
          <w:p w14:paraId="3A616931">
            <w:pPr>
              <w:numPr>
                <w:ilvl w:val="0"/>
                <w:numId w:val="9"/>
              </w:num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《光学教程》（第五版）姚启钧原著，高等教育出版社，2014年08月。</w:t>
            </w:r>
          </w:p>
          <w:p w14:paraId="23018F68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  <w:p w14:paraId="42CFEDCC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14:paraId="7C771349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C7F5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77EDC"/>
    <w:multiLevelType w:val="singleLevel"/>
    <w:tmpl w:val="84B77E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35E392"/>
    <w:multiLevelType w:val="singleLevel"/>
    <w:tmpl w:val="AB35E39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4B81CE8"/>
    <w:multiLevelType w:val="singleLevel"/>
    <w:tmpl w:val="B4B81CE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E3080FC4"/>
    <w:multiLevelType w:val="singleLevel"/>
    <w:tmpl w:val="E3080FC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EDAE8F17"/>
    <w:multiLevelType w:val="singleLevel"/>
    <w:tmpl w:val="EDAE8F1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30191858"/>
    <w:multiLevelType w:val="singleLevel"/>
    <w:tmpl w:val="301918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8AAFEE9"/>
    <w:multiLevelType w:val="singleLevel"/>
    <w:tmpl w:val="58AAFEE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2933B2C"/>
    <w:multiLevelType w:val="singleLevel"/>
    <w:tmpl w:val="72933B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7FD010A5"/>
    <w:multiLevelType w:val="multilevel"/>
    <w:tmpl w:val="7FD010A5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396"/>
    <w:rsid w:val="00073BED"/>
    <w:rsid w:val="0019087C"/>
    <w:rsid w:val="001F6848"/>
    <w:rsid w:val="00211620"/>
    <w:rsid w:val="00286B10"/>
    <w:rsid w:val="002D6C39"/>
    <w:rsid w:val="003678A7"/>
    <w:rsid w:val="003813CC"/>
    <w:rsid w:val="003D1DC0"/>
    <w:rsid w:val="00482FDE"/>
    <w:rsid w:val="004B1923"/>
    <w:rsid w:val="005757E6"/>
    <w:rsid w:val="005915BF"/>
    <w:rsid w:val="00605285"/>
    <w:rsid w:val="006B49DD"/>
    <w:rsid w:val="006B6D12"/>
    <w:rsid w:val="0070544F"/>
    <w:rsid w:val="00762C50"/>
    <w:rsid w:val="0076714A"/>
    <w:rsid w:val="00786D27"/>
    <w:rsid w:val="007A6291"/>
    <w:rsid w:val="00817E3F"/>
    <w:rsid w:val="0085334A"/>
    <w:rsid w:val="00856400"/>
    <w:rsid w:val="00882D2F"/>
    <w:rsid w:val="0088689D"/>
    <w:rsid w:val="008C4519"/>
    <w:rsid w:val="00A211A2"/>
    <w:rsid w:val="00A62CA5"/>
    <w:rsid w:val="00A83456"/>
    <w:rsid w:val="00AF13C8"/>
    <w:rsid w:val="00B82BEB"/>
    <w:rsid w:val="00C3687B"/>
    <w:rsid w:val="00CC45D7"/>
    <w:rsid w:val="00D45C9A"/>
    <w:rsid w:val="00DF6D38"/>
    <w:rsid w:val="00E939B9"/>
    <w:rsid w:val="00EB673B"/>
    <w:rsid w:val="00FC5818"/>
    <w:rsid w:val="095D209A"/>
    <w:rsid w:val="27663E23"/>
    <w:rsid w:val="29FF3691"/>
    <w:rsid w:val="2F88122C"/>
    <w:rsid w:val="372C0C84"/>
    <w:rsid w:val="37797B5F"/>
    <w:rsid w:val="44E92611"/>
    <w:rsid w:val="482E6552"/>
    <w:rsid w:val="552206F5"/>
    <w:rsid w:val="5560066F"/>
    <w:rsid w:val="55EF0E43"/>
    <w:rsid w:val="57C80C99"/>
    <w:rsid w:val="6F2926D1"/>
    <w:rsid w:val="73BD621F"/>
    <w:rsid w:val="7BD83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paragraph" w:customStyle="1" w:styleId="8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2018-07-04T07:54:00Z</dcterms:created>
  <dc:creator>USER</dc:creator>
  <cp:lastModifiedBy>vertesyuan</cp:lastModifiedBy>
  <cp:lastPrinted>2011-06-29T03:04:00Z</cp:lastPrinted>
  <dcterms:modified xsi:type="dcterms:W3CDTF">2024-10-12T07:48:16Z</dcterms:modified>
  <dc:title>2011年硕士研究生入学考试专业课考试大纲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195A7F833EE645818656B73E972C4D25_13</vt:lpwstr>
  </property>
</Properties>
</file>