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7C4E8">
      <w:pPr>
        <w:kinsoku/>
        <w:overflowPunct w:val="0"/>
        <w:spacing w:before="159" w:line="380" w:lineRule="auto"/>
        <w:ind w:left="2885" w:right="1250" w:hanging="1674"/>
        <w:jc w:val="both"/>
        <w:rPr>
          <w:rFonts w:ascii="Times New Roman" w:hAnsi="Times New Roman" w:eastAsia="新宋体" w:cs="Times New Roman"/>
          <w:b/>
          <w:bCs/>
          <w:sz w:val="31"/>
          <w:szCs w:val="31"/>
        </w:rPr>
      </w:pPr>
      <w:bookmarkStart w:id="0" w:name="_GoBack"/>
      <w:bookmarkEnd w:id="0"/>
      <w:r>
        <w:rPr>
          <w:rFonts w:ascii="Times New Roman" w:hAnsi="Times New Roman" w:eastAsia="新宋体" w:cs="Times New Roman"/>
          <w:b/>
          <w:bCs/>
          <w:spacing w:val="2"/>
          <w:sz w:val="31"/>
          <w:szCs w:val="31"/>
        </w:rPr>
        <w:t>武汉工程大学2025年硕士</w:t>
      </w:r>
      <w:r>
        <w:rPr>
          <w:rFonts w:ascii="Times New Roman" w:hAnsi="Times New Roman" w:eastAsia="新宋体" w:cs="Times New Roman"/>
          <w:b/>
          <w:bCs/>
          <w:spacing w:val="1"/>
          <w:sz w:val="31"/>
          <w:szCs w:val="31"/>
        </w:rPr>
        <w:t>研究生</w:t>
      </w:r>
      <w:r>
        <w:rPr>
          <w:rFonts w:hint="eastAsia" w:ascii="Times New Roman" w:hAnsi="Times New Roman" w:eastAsia="新宋体" w:cs="Times New Roman"/>
          <w:b/>
          <w:bCs/>
          <w:spacing w:val="1"/>
          <w:sz w:val="31"/>
          <w:szCs w:val="31"/>
          <w:lang w:val="en-US" w:eastAsia="zh-CN"/>
        </w:rPr>
        <w:t>招生</w:t>
      </w:r>
      <w:r>
        <w:rPr>
          <w:rFonts w:ascii="Times New Roman" w:hAnsi="Times New Roman" w:eastAsia="新宋体" w:cs="Times New Roman"/>
          <w:b/>
          <w:bCs/>
          <w:spacing w:val="1"/>
          <w:sz w:val="31"/>
          <w:szCs w:val="31"/>
        </w:rPr>
        <w:t>考试</w:t>
      </w:r>
      <w:r>
        <w:rPr>
          <w:rFonts w:ascii="Times New Roman" w:hAnsi="Times New Roman" w:eastAsia="新宋体" w:cs="Times New Roman"/>
          <w:b/>
          <w:bCs/>
          <w:sz w:val="31"/>
          <w:szCs w:val="31"/>
        </w:rPr>
        <w:t xml:space="preserve"> </w:t>
      </w:r>
      <w:r>
        <w:rPr>
          <w:rFonts w:ascii="Times New Roman" w:hAnsi="Times New Roman" w:eastAsia="新宋体" w:cs="Times New Roman"/>
          <w:b/>
          <w:bCs/>
          <w:spacing w:val="13"/>
          <w:sz w:val="31"/>
          <w:szCs w:val="31"/>
        </w:rPr>
        <w:t>《</w:t>
      </w:r>
      <w:r>
        <w:rPr>
          <w:rFonts w:ascii="Times New Roman" w:hAnsi="Times New Roman" w:eastAsia="新宋体" w:cs="Times New Roman"/>
          <w:b/>
          <w:bCs/>
          <w:spacing w:val="10"/>
          <w:sz w:val="31"/>
          <w:szCs w:val="31"/>
        </w:rPr>
        <w:t>电路》考试大纲</w:t>
      </w:r>
    </w:p>
    <w:p w14:paraId="40BBB90A">
      <w:pPr>
        <w:kinsoku/>
        <w:overflowPunct w:val="0"/>
        <w:spacing w:before="305" w:line="219" w:lineRule="auto"/>
        <w:ind w:left="27"/>
        <w:jc w:val="both"/>
        <w:outlineLvl w:val="0"/>
        <w:rPr>
          <w:rFonts w:ascii="Times New Roman" w:hAnsi="Times New Roman" w:eastAsia="新宋体" w:cs="Times New Roman"/>
          <w:b/>
          <w:bCs/>
          <w:sz w:val="28"/>
          <w:szCs w:val="28"/>
        </w:rPr>
      </w:pPr>
      <w:r>
        <w:rPr>
          <w:rFonts w:ascii="Times New Roman" w:hAnsi="Times New Roman" w:eastAsia="新宋体" w:cs="Times New Roman"/>
          <w:b/>
          <w:bCs/>
          <w:spacing w:val="-17"/>
          <w:sz w:val="28"/>
          <w:szCs w:val="28"/>
        </w:rPr>
        <w:t>一、参考教材</w:t>
      </w:r>
    </w:p>
    <w:p w14:paraId="69E66B62">
      <w:pPr>
        <w:kinsoku/>
        <w:overflowPunct w:val="0"/>
        <w:spacing w:before="149" w:line="244" w:lineRule="auto"/>
        <w:ind w:left="20" w:right="63" w:firstLine="48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、凃玲英、王东剑、贺章擎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主编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《电路理论》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第三版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).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武汉：华中科技大学出版社，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21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.</w:t>
      </w:r>
    </w:p>
    <w:p w14:paraId="78631395">
      <w:pPr>
        <w:kinsoku/>
        <w:overflowPunct w:val="0"/>
        <w:spacing w:before="149" w:line="244" w:lineRule="auto"/>
        <w:ind w:left="20" w:right="63" w:firstLine="48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、邱关源原著、罗先觉修订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《电路》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第六版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北京：高等教育出版社，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eastAsia="等线" w:cs="Times New Roman"/>
          <w:spacing w:val="-1"/>
          <w:sz w:val="24"/>
          <w:szCs w:val="24"/>
        </w:rPr>
        <w:t>22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.</w:t>
      </w:r>
    </w:p>
    <w:p w14:paraId="33A80493">
      <w:pPr>
        <w:kinsoku/>
        <w:overflowPunct w:val="0"/>
        <w:spacing w:before="149" w:line="244" w:lineRule="auto"/>
        <w:ind w:left="20" w:right="63" w:firstLine="481"/>
        <w:jc w:val="both"/>
        <w:rPr>
          <w:rFonts w:ascii="Times New Roman" w:hAnsi="Times New Roman" w:eastAsia="等线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3</w:t>
      </w:r>
      <w:r>
        <w:rPr>
          <w:rFonts w:ascii="Times New Roman" w:hAnsi="Times New Roman" w:eastAsia="宋体" w:cs="Times New Roman"/>
          <w:spacing w:val="-6"/>
          <w:sz w:val="24"/>
          <w:szCs w:val="24"/>
        </w:rPr>
        <w:t>、汪建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、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汪泉编著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《电路原理教程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》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.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北京：清华大学出版社，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2017.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0EC97C8C">
      <w:pPr>
        <w:kinsoku/>
        <w:overflowPunct w:val="0"/>
        <w:spacing w:before="149" w:line="244" w:lineRule="auto"/>
        <w:ind w:left="20" w:right="63" w:firstLine="481"/>
        <w:jc w:val="both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pacing w:val="-1"/>
        </w:rPr>
        <w:t xml:space="preserve">(备注：以 </w:t>
      </w:r>
      <w:r>
        <w:rPr>
          <w:rFonts w:ascii="Times New Roman" w:hAnsi="Times New Roman" w:eastAsia="Times New Roman" w:cs="Times New Roman"/>
          <w:spacing w:val="-1"/>
        </w:rPr>
        <w:t xml:space="preserve">1 </w:t>
      </w:r>
      <w:r>
        <w:rPr>
          <w:rFonts w:ascii="Times New Roman" w:hAnsi="Times New Roman" w:eastAsia="宋体" w:cs="Times New Roman"/>
          <w:spacing w:val="-1"/>
        </w:rPr>
        <w:t>为主，</w:t>
      </w:r>
      <w:r>
        <w:rPr>
          <w:rFonts w:ascii="Times New Roman" w:hAnsi="Times New Roman" w:eastAsia="Times New Roman" w:cs="Times New Roman"/>
          <w:spacing w:val="-1"/>
        </w:rPr>
        <w:t xml:space="preserve">2 </w:t>
      </w:r>
      <w:r>
        <w:rPr>
          <w:rFonts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 </w:t>
      </w:r>
      <w:r>
        <w:rPr>
          <w:rFonts w:ascii="Times New Roman" w:hAnsi="Times New Roman" w:eastAsia="宋体" w:cs="Times New Roman"/>
        </w:rPr>
        <w:t>为辅)</w:t>
      </w:r>
    </w:p>
    <w:p w14:paraId="267E3473">
      <w:pPr>
        <w:kinsoku/>
        <w:overflowPunct w:val="0"/>
        <w:spacing w:before="290" w:line="220" w:lineRule="auto"/>
        <w:ind w:left="27"/>
        <w:jc w:val="both"/>
        <w:outlineLvl w:val="0"/>
        <w:rPr>
          <w:rFonts w:ascii="Times New Roman" w:hAnsi="Times New Roman" w:eastAsia="新宋体" w:cs="Times New Roman"/>
          <w:b/>
          <w:bCs/>
          <w:sz w:val="28"/>
          <w:szCs w:val="28"/>
        </w:rPr>
      </w:pPr>
      <w:r>
        <w:rPr>
          <w:rFonts w:ascii="Times New Roman" w:hAnsi="Times New Roman" w:eastAsia="新宋体" w:cs="Times New Roman"/>
          <w:b/>
          <w:bCs/>
          <w:spacing w:val="-12"/>
          <w:sz w:val="28"/>
          <w:szCs w:val="28"/>
        </w:rPr>
        <w:t>二</w:t>
      </w:r>
      <w:r>
        <w:rPr>
          <w:rFonts w:ascii="Times New Roman" w:hAnsi="Times New Roman" w:eastAsia="新宋体" w:cs="Times New Roman"/>
          <w:b/>
          <w:bCs/>
          <w:spacing w:val="-11"/>
          <w:sz w:val="28"/>
          <w:szCs w:val="28"/>
        </w:rPr>
        <w:t>、考试形式与试卷结构</w:t>
      </w:r>
    </w:p>
    <w:p w14:paraId="60EA1DED">
      <w:pPr>
        <w:kinsoku/>
        <w:overflowPunct w:val="0"/>
        <w:spacing w:before="188" w:line="220" w:lineRule="auto"/>
        <w:ind w:left="519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、答卷方式：闭卷，笔试；</w:t>
      </w:r>
    </w:p>
    <w:p w14:paraId="7DB75156">
      <w:pPr>
        <w:kinsoku/>
        <w:overflowPunct w:val="0"/>
        <w:spacing w:before="182" w:line="220" w:lineRule="auto"/>
        <w:ind w:left="496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、答题时间</w:t>
      </w:r>
      <w:r>
        <w:rPr>
          <w:rFonts w:ascii="Times New Roman" w:hAnsi="Times New Roman" w:eastAsia="宋体" w:cs="Times New Roman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180 </w:t>
      </w:r>
      <w:r>
        <w:rPr>
          <w:rFonts w:ascii="Times New Roman" w:hAnsi="Times New Roman" w:eastAsia="宋体" w:cs="Times New Roman"/>
          <w:sz w:val="24"/>
          <w:szCs w:val="24"/>
        </w:rPr>
        <w:t>分钟；</w:t>
      </w:r>
    </w:p>
    <w:p w14:paraId="4856A172">
      <w:pPr>
        <w:kinsoku/>
        <w:overflowPunct w:val="0"/>
        <w:spacing w:before="183" w:line="219" w:lineRule="auto"/>
        <w:ind w:left="501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、满分：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150 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分</w:t>
      </w:r>
      <w:r>
        <w:rPr>
          <w:rFonts w:ascii="Times New Roman" w:hAnsi="Times New Roman" w:eastAsia="宋体" w:cs="Times New Roman"/>
          <w:sz w:val="24"/>
          <w:szCs w:val="24"/>
        </w:rPr>
        <w:t>；</w:t>
      </w:r>
    </w:p>
    <w:p w14:paraId="292CC029">
      <w:pPr>
        <w:kinsoku/>
        <w:overflowPunct w:val="0"/>
        <w:spacing w:before="182" w:line="222" w:lineRule="auto"/>
        <w:ind w:left="495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、题型</w:t>
      </w:r>
      <w:r>
        <w:rPr>
          <w:rFonts w:ascii="Times New Roman" w:hAnsi="Times New Roman" w:eastAsia="宋体" w:cs="Times New Roman"/>
          <w:sz w:val="24"/>
          <w:szCs w:val="24"/>
        </w:rPr>
        <w:t>：选择题、填空题、计算题。</w:t>
      </w:r>
    </w:p>
    <w:p w14:paraId="7DB18CE4">
      <w:pPr>
        <w:kinsoku/>
        <w:overflowPunct w:val="0"/>
        <w:spacing w:before="92" w:line="220" w:lineRule="auto"/>
        <w:ind w:left="28"/>
        <w:jc w:val="both"/>
        <w:outlineLvl w:val="0"/>
        <w:rPr>
          <w:rFonts w:ascii="Times New Roman" w:hAnsi="Times New Roman" w:eastAsia="新宋体" w:cs="Times New Roman"/>
          <w:b/>
          <w:bCs/>
          <w:sz w:val="28"/>
          <w:szCs w:val="28"/>
        </w:rPr>
      </w:pPr>
      <w:r>
        <w:rPr>
          <w:rFonts w:ascii="Times New Roman" w:hAnsi="Times New Roman" w:eastAsia="新宋体" w:cs="Times New Roman"/>
          <w:b/>
          <w:bCs/>
          <w:spacing w:val="-13"/>
          <w:sz w:val="28"/>
          <w:szCs w:val="28"/>
        </w:rPr>
        <w:t>三、考试内容及要</w:t>
      </w:r>
      <w:r>
        <w:rPr>
          <w:rFonts w:ascii="Times New Roman" w:hAnsi="Times New Roman" w:eastAsia="新宋体" w:cs="Times New Roman"/>
          <w:b/>
          <w:bCs/>
          <w:spacing w:val="-11"/>
          <w:sz w:val="28"/>
          <w:szCs w:val="28"/>
        </w:rPr>
        <w:t>求</w:t>
      </w:r>
    </w:p>
    <w:p w14:paraId="4FCDCDC1">
      <w:pPr>
        <w:kinsoku/>
        <w:overflowPunct w:val="0"/>
        <w:spacing w:before="254" w:line="302" w:lineRule="auto"/>
        <w:ind w:left="23" w:right="62" w:firstLine="465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3"/>
          <w:sz w:val="24"/>
          <w:szCs w:val="24"/>
        </w:rPr>
        <w:t>《电路》是我校为招收控制理论与控制工程、检测技术与自动化装置学科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以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1"/>
          <w:sz w:val="24"/>
          <w:szCs w:val="24"/>
        </w:rPr>
        <w:t>及能源动力类(专业学位)电气工程专业的硕士研究生</w:t>
      </w:r>
      <w:r>
        <w:rPr>
          <w:rFonts w:ascii="Times New Roman" w:hAnsi="Times New Roman" w:eastAsia="宋体" w:cs="Times New Roman"/>
          <w:sz w:val="24"/>
          <w:szCs w:val="24"/>
        </w:rPr>
        <w:t>设置的考试科目。它的评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价标准是高等学校优秀毕业生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能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达到良好及以上水平，以保证被录取者具有较扎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实的专业基础和较强的分析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问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题的能力，并有利于高等学校的择优选拔。故试题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的难度系数在本科生该门课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程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结业考试试题难度系数的基础上，适当加大。对于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该门课程总体要求是：掌握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电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路的基本理论和分析计算电路的基本方法，灵活运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用所学的电路理论及方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法解决综合性电路问题。因此参加该门课程考试的考生须 理解和掌握如下内容：</w:t>
      </w:r>
    </w:p>
    <w:p w14:paraId="5802D358">
      <w:pPr>
        <w:kinsoku/>
        <w:overflowPunct w:val="0"/>
        <w:spacing w:before="157" w:line="219" w:lineRule="auto"/>
        <w:ind w:left="459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19"/>
          <w:sz w:val="24"/>
          <w:szCs w:val="24"/>
        </w:rPr>
        <w:t>、电路元件和电路定律</w:t>
      </w:r>
    </w:p>
    <w:p w14:paraId="0FAFAE38">
      <w:pPr>
        <w:kinsoku/>
        <w:overflowPunct w:val="0"/>
        <w:spacing w:before="254" w:line="302" w:lineRule="auto"/>
        <w:ind w:left="23" w:right="62" w:firstLine="465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4"/>
          <w:sz w:val="24"/>
          <w:szCs w:val="24"/>
        </w:rPr>
        <w:t>理想元件与电路模型；电路的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基本物理量和电压、电流的参考方向；基尔霍夫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定律及应用；电阻元件，电压源、电流源和受控源的伏安关系及功率的计算；电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阻</w:t>
      </w:r>
      <w:r>
        <w:rPr>
          <w:rFonts w:ascii="Times New Roman" w:hAnsi="Times New Roman" w:eastAsia="宋体" w:cs="Times New Roman"/>
          <w:spacing w:val="4"/>
          <w:sz w:val="24"/>
          <w:szCs w:val="24"/>
        </w:rPr>
        <w:t>的</w:t>
      </w:r>
      <w:r>
        <w:rPr>
          <w:rFonts w:ascii="Times New Roman" w:hAnsi="Times New Roman" w:eastAsia="宋体" w:cs="Times New Roman"/>
          <w:spacing w:val="3"/>
          <w:sz w:val="24"/>
          <w:szCs w:val="24"/>
        </w:rPr>
        <w:t>联</w:t>
      </w:r>
      <w:r>
        <w:rPr>
          <w:rFonts w:ascii="Times New Roman" w:hAnsi="Times New Roman" w:eastAsia="宋体" w:cs="Times New Roman"/>
          <w:spacing w:val="2"/>
          <w:sz w:val="24"/>
          <w:szCs w:val="24"/>
        </w:rPr>
        <w:t>结及等效变换；电感元件、电容元件的伏安关系及贮能的计算；电容、电感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元件的串联与并联；电源</w:t>
      </w:r>
      <w:r>
        <w:rPr>
          <w:rFonts w:ascii="Times New Roman" w:hAnsi="Times New Roman" w:eastAsia="宋体" w:cs="Times New Roman"/>
          <w:sz w:val="24"/>
          <w:szCs w:val="24"/>
        </w:rPr>
        <w:t>的联结及等效变换；输入电阻的概念及求法。</w:t>
      </w:r>
    </w:p>
    <w:p w14:paraId="6BDEC570">
      <w:pPr>
        <w:kinsoku/>
        <w:overflowPunct w:val="0"/>
        <w:spacing w:before="149" w:line="219" w:lineRule="auto"/>
        <w:ind w:left="482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、电阻电</w:t>
      </w:r>
      <w:r>
        <w:rPr>
          <w:rFonts w:ascii="Times New Roman" w:hAnsi="Times New Roman" w:eastAsia="宋体" w:cs="Times New Roman"/>
          <w:sz w:val="24"/>
          <w:szCs w:val="24"/>
        </w:rPr>
        <w:t>路的一般分析</w:t>
      </w:r>
    </w:p>
    <w:p w14:paraId="33A3420A">
      <w:pPr>
        <w:kinsoku/>
        <w:overflowPunct w:val="0"/>
        <w:spacing w:before="251" w:line="308" w:lineRule="auto"/>
        <w:ind w:left="26" w:right="14" w:firstLine="464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1"/>
          <w:sz w:val="24"/>
          <w:szCs w:val="24"/>
        </w:rPr>
        <w:t>图、树与</w:t>
      </w:r>
      <w:r>
        <w:rPr>
          <w:rFonts w:ascii="Times New Roman" w:hAnsi="Times New Roman" w:eastAsia="宋体" w:cs="Times New Roman"/>
          <w:sz w:val="24"/>
          <w:szCs w:val="24"/>
        </w:rPr>
        <w:t>树支，连支、平面图；独立结点、基本回路、独立方程数；支路电流</w:t>
      </w:r>
      <w:r>
        <w:rPr>
          <w:rFonts w:ascii="Times New Roman" w:hAnsi="Times New Roman" w:eastAsia="宋体" w:cs="Times New Roman"/>
          <w:spacing w:val="1"/>
          <w:sz w:val="24"/>
          <w:szCs w:val="24"/>
        </w:rPr>
        <w:t>法、网孔电</w:t>
      </w:r>
      <w:r>
        <w:rPr>
          <w:rFonts w:ascii="Times New Roman" w:hAnsi="Times New Roman" w:eastAsia="宋体" w:cs="Times New Roman"/>
          <w:sz w:val="24"/>
          <w:szCs w:val="24"/>
        </w:rPr>
        <w:t>流法</w:t>
      </w:r>
      <w:r>
        <w:rPr>
          <w:rFonts w:ascii="Times New Roman" w:hAnsi="Times New Roman" w:eastAsia="宋体" w:cs="Times New Roman"/>
          <w:spacing w:val="1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回路电流法和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结点</w:t>
      </w:r>
      <w:r>
        <w:rPr>
          <w:rFonts w:ascii="Times New Roman" w:hAnsi="Times New Roman" w:eastAsia="宋体" w:cs="Times New Roman"/>
          <w:sz w:val="24"/>
          <w:szCs w:val="24"/>
        </w:rPr>
        <w:t>电压法；运算放大器的电路模型和特点；含有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理想运算放大器的电阻电</w:t>
      </w:r>
      <w:r>
        <w:rPr>
          <w:rFonts w:ascii="Times New Roman" w:hAnsi="Times New Roman" w:eastAsia="宋体" w:cs="Times New Roman"/>
          <w:sz w:val="24"/>
          <w:szCs w:val="24"/>
        </w:rPr>
        <w:t>路的分析方法。</w:t>
      </w:r>
    </w:p>
    <w:p w14:paraId="42B0C546">
      <w:pPr>
        <w:kinsoku/>
        <w:overflowPunct w:val="0"/>
        <w:spacing w:before="148" w:line="219" w:lineRule="auto"/>
        <w:ind w:left="487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、电路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定理</w:t>
      </w:r>
    </w:p>
    <w:p w14:paraId="0FDFE08F">
      <w:pPr>
        <w:kinsoku/>
        <w:overflowPunct w:val="0"/>
        <w:spacing w:before="251" w:line="308" w:lineRule="auto"/>
        <w:ind w:left="26" w:right="14" w:firstLine="464"/>
        <w:jc w:val="both"/>
        <w:rPr>
          <w:rFonts w:ascii="Times New Roman" w:hAnsi="Times New Roman" w:eastAsia="宋体" w:cs="Times New Roman"/>
          <w:spacing w:val="-1"/>
          <w:sz w:val="24"/>
          <w:szCs w:val="24"/>
        </w:rPr>
      </w:pPr>
      <w:r>
        <w:rPr>
          <w:rFonts w:ascii="Times New Roman" w:hAnsi="Times New Roman" w:eastAsia="宋体" w:cs="Times New Roman"/>
          <w:spacing w:val="1"/>
          <w:sz w:val="24"/>
          <w:szCs w:val="24"/>
        </w:rPr>
        <w:t>叠加定理，戴维宁和诺顿定理；电</w:t>
      </w:r>
      <w:r>
        <w:rPr>
          <w:rFonts w:ascii="Times New Roman" w:hAnsi="Times New Roman" w:eastAsia="宋体" w:cs="Times New Roman"/>
          <w:sz w:val="24"/>
          <w:szCs w:val="24"/>
        </w:rPr>
        <w:t>阻电路的最大功率传输的概念和应用；替代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定理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、特勒根定理、互易定理。</w:t>
      </w:r>
    </w:p>
    <w:p w14:paraId="195F34C0">
      <w:pPr>
        <w:kinsoku/>
        <w:overflowPunct w:val="0"/>
        <w:spacing w:before="173" w:line="219" w:lineRule="auto"/>
        <w:ind w:left="491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2"/>
          <w:sz w:val="24"/>
          <w:szCs w:val="24"/>
        </w:rPr>
        <w:t>4、一阶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电路的时域分析</w:t>
      </w:r>
    </w:p>
    <w:p w14:paraId="38041084">
      <w:pPr>
        <w:kinsoku/>
        <w:overflowPunct w:val="0"/>
        <w:spacing w:before="139" w:line="246" w:lineRule="auto"/>
        <w:ind w:left="22" w:right="28" w:firstLine="479"/>
        <w:jc w:val="both"/>
        <w:rPr>
          <w:rFonts w:ascii="Times New Roman" w:hAnsi="Times New Roman" w:eastAsia="宋体" w:cs="Times New Roman"/>
          <w:spacing w:val="-1"/>
          <w:sz w:val="24"/>
          <w:szCs w:val="24"/>
        </w:rPr>
      </w:pPr>
      <w:r>
        <w:rPr>
          <w:rFonts w:ascii="Times New Roman" w:hAnsi="Times New Roman" w:eastAsia="宋体" w:cs="Times New Roman"/>
          <w:spacing w:val="-1"/>
          <w:sz w:val="24"/>
          <w:szCs w:val="24"/>
        </w:rPr>
        <w:t>动态电路的概念，换路</w:t>
      </w:r>
      <w:r>
        <w:rPr>
          <w:rFonts w:ascii="Times New Roman" w:hAnsi="Times New Roman" w:eastAsia="宋体" w:cs="Times New Roman"/>
          <w:sz w:val="24"/>
          <w:szCs w:val="24"/>
        </w:rPr>
        <w:t>定律、初始值的计算；时间常数的概念及计算；一阶电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路方程，零输入响应、零</w:t>
      </w:r>
      <w:r>
        <w:rPr>
          <w:rFonts w:ascii="Times New Roman" w:hAnsi="Times New Roman" w:eastAsia="宋体" w:cs="Times New Roman"/>
          <w:sz w:val="24"/>
          <w:szCs w:val="24"/>
        </w:rPr>
        <w:t>状态响应与全响应，暂态响应与稳态响应；一阶电路的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阶跃响应和冲击响应计算</w:t>
      </w:r>
      <w:r>
        <w:rPr>
          <w:rFonts w:ascii="Times New Roman" w:hAnsi="Times New Roman" w:eastAsia="宋体" w:cs="Times New Roman"/>
          <w:sz w:val="24"/>
          <w:szCs w:val="24"/>
        </w:rPr>
        <w:t>；一阶电路全响应的三要素法。</w:t>
      </w:r>
    </w:p>
    <w:p w14:paraId="141FF85B">
      <w:pPr>
        <w:kinsoku/>
        <w:overflowPunct w:val="0"/>
        <w:spacing w:before="143" w:line="219" w:lineRule="auto"/>
        <w:ind w:left="481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16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14"/>
          <w:sz w:val="24"/>
          <w:szCs w:val="24"/>
        </w:rPr>
        <w:t>、正弦稳态电路分析</w:t>
      </w:r>
    </w:p>
    <w:p w14:paraId="6F6214F9">
      <w:pPr>
        <w:kinsoku/>
        <w:overflowPunct w:val="0"/>
        <w:spacing w:before="255" w:line="303" w:lineRule="auto"/>
        <w:ind w:left="22" w:right="8" w:firstLine="468"/>
        <w:jc w:val="both"/>
        <w:rPr>
          <w:rFonts w:ascii="Times New Roman" w:hAnsi="Times New Roman" w:eastAsia="宋体" w:cs="Times New Roman"/>
          <w:spacing w:val="-2"/>
          <w:sz w:val="24"/>
          <w:szCs w:val="24"/>
        </w:rPr>
      </w:pPr>
      <w:r>
        <w:rPr>
          <w:rFonts w:ascii="Times New Roman" w:hAnsi="Times New Roman" w:eastAsia="宋体" w:cs="Times New Roman"/>
          <w:spacing w:val="2"/>
          <w:sz w:val="24"/>
          <w:szCs w:val="24"/>
        </w:rPr>
        <w:t>正弦量的三要素，相位差和</w:t>
      </w:r>
      <w:r>
        <w:rPr>
          <w:rFonts w:ascii="Times New Roman" w:hAnsi="Times New Roman" w:eastAsia="宋体" w:cs="Times New Roman"/>
          <w:spacing w:val="1"/>
          <w:sz w:val="24"/>
          <w:szCs w:val="24"/>
        </w:rPr>
        <w:t>有效值，相量法；电路元件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(</w:t>
      </w:r>
      <w:r>
        <w:rPr>
          <w:rFonts w:ascii="Times New Roman" w:hAnsi="Times New Roman" w:eastAsia="宋体" w:cs="Times New Roman"/>
          <w:spacing w:val="1"/>
          <w:sz w:val="24"/>
          <w:szCs w:val="24"/>
        </w:rPr>
        <w:t>电阻、电感、电容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1"/>
          <w:sz w:val="24"/>
          <w:szCs w:val="24"/>
        </w:rPr>
        <w:t>电压</w:t>
      </w:r>
      <w:r>
        <w:rPr>
          <w:rFonts w:ascii="Times New Roman" w:hAnsi="Times New Roman" w:eastAsia="等线" w:cs="Times New Roman"/>
          <w:sz w:val="24"/>
          <w:szCs w:val="24"/>
        </w:rPr>
        <w:t>-</w:t>
      </w:r>
      <w:r>
        <w:rPr>
          <w:rFonts w:ascii="Times New Roman" w:hAnsi="Times New Roman" w:eastAsia="宋体" w:cs="Times New Roman"/>
          <w:sz w:val="24"/>
          <w:szCs w:val="24"/>
        </w:rPr>
        <w:t>电流关系的相量形式，电路定理的相量形式，电路的相量模型；阻抗与导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纳及其等效互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换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；电路的相量图表示法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参考相量的选择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，用相量法分析正弦稳态</w:t>
      </w:r>
      <w:r>
        <w:rPr>
          <w:rFonts w:ascii="Times New Roman" w:hAnsi="Times New Roman" w:eastAsia="宋体" w:cs="Times New Roman"/>
          <w:spacing w:val="4"/>
          <w:sz w:val="24"/>
          <w:szCs w:val="24"/>
        </w:rPr>
        <w:t>电</w:t>
      </w:r>
      <w:r>
        <w:rPr>
          <w:rFonts w:ascii="Times New Roman" w:hAnsi="Times New Roman" w:eastAsia="宋体" w:cs="Times New Roman"/>
          <w:spacing w:val="3"/>
          <w:sz w:val="24"/>
          <w:szCs w:val="24"/>
        </w:rPr>
        <w:t>路</w:t>
      </w:r>
      <w:r>
        <w:rPr>
          <w:rFonts w:ascii="Times New Roman" w:hAnsi="Times New Roman" w:eastAsia="宋体" w:cs="Times New Roman"/>
          <w:spacing w:val="2"/>
          <w:sz w:val="24"/>
          <w:szCs w:val="24"/>
        </w:rPr>
        <w:t>；用相量法计算正弦稳态电路的有功功率、无功功率、视在功率和复功率；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交流电路的最大功率传输和应用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；功率因数及提高功率因数的措施。</w:t>
      </w:r>
    </w:p>
    <w:p w14:paraId="17FBCBAD">
      <w:pPr>
        <w:numPr>
          <w:ilvl w:val="0"/>
          <w:numId w:val="1"/>
        </w:numPr>
        <w:kinsoku/>
        <w:overflowPunct w:val="0"/>
        <w:spacing w:before="255" w:line="303" w:lineRule="auto"/>
        <w:ind w:left="22" w:right="8" w:firstLine="468"/>
        <w:jc w:val="both"/>
        <w:rPr>
          <w:rFonts w:ascii="Times New Roman" w:hAnsi="Times New Roman" w:eastAsia="宋体" w:cs="Times New Roman"/>
          <w:spacing w:val="-14"/>
          <w:sz w:val="24"/>
          <w:szCs w:val="24"/>
        </w:rPr>
      </w:pPr>
      <w:r>
        <w:rPr>
          <w:rFonts w:ascii="Times New Roman" w:hAnsi="Times New Roman" w:eastAsia="宋体" w:cs="Times New Roman"/>
          <w:spacing w:val="-14"/>
          <w:sz w:val="24"/>
          <w:szCs w:val="24"/>
        </w:rPr>
        <w:t>电路频率特性</w:t>
      </w:r>
    </w:p>
    <w:p w14:paraId="578C5205">
      <w:pPr>
        <w:kinsoku/>
        <w:overflowPunct w:val="0"/>
        <w:spacing w:before="255" w:line="303" w:lineRule="auto"/>
        <w:ind w:left="490" w:right="8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2"/>
          <w:sz w:val="24"/>
          <w:szCs w:val="24"/>
        </w:rPr>
        <w:t>串联谐振与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并联谐振的特点；电路的频</w:t>
      </w:r>
      <w:r>
        <w:rPr>
          <w:rFonts w:ascii="Times New Roman" w:hAnsi="Times New Roman" w:eastAsia="宋体" w:cs="Times New Roman"/>
          <w:sz w:val="24"/>
          <w:szCs w:val="24"/>
        </w:rPr>
        <w:t>率响应特性。</w:t>
      </w:r>
    </w:p>
    <w:p w14:paraId="6597BD4A">
      <w:pPr>
        <w:kinsoku/>
        <w:overflowPunct w:val="0"/>
        <w:spacing w:before="140" w:line="219" w:lineRule="auto"/>
        <w:ind w:left="487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1"/>
          <w:sz w:val="24"/>
          <w:szCs w:val="24"/>
        </w:rPr>
        <w:t>7、含有耦合电感的电路</w:t>
      </w:r>
    </w:p>
    <w:p w14:paraId="48D682F5">
      <w:pPr>
        <w:kinsoku/>
        <w:overflowPunct w:val="0"/>
        <w:spacing w:before="133" w:line="247" w:lineRule="auto"/>
        <w:ind w:left="21" w:right="9" w:firstLine="482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6"/>
          <w:sz w:val="24"/>
          <w:szCs w:val="24"/>
        </w:rPr>
        <w:t>互感、同名端、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互感系数、耦合系数的概念；耦合电感的伏安关系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(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相量形式</w:t>
      </w:r>
      <w:r>
        <w:rPr>
          <w:rFonts w:ascii="Times New Roman" w:hAnsi="Times New Roman" w:eastAsia="宋体" w:cs="Times New Roman"/>
          <w:spacing w:val="6"/>
          <w:sz w:val="24"/>
          <w:szCs w:val="24"/>
        </w:rPr>
        <w:t>和时域形式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)</w:t>
      </w:r>
      <w:r>
        <w:rPr>
          <w:rFonts w:ascii="Times New Roman" w:hAnsi="Times New Roman" w:eastAsia="宋体" w:cs="Times New Roman"/>
          <w:spacing w:val="6"/>
          <w:sz w:val="24"/>
          <w:szCs w:val="24"/>
        </w:rPr>
        <w:t>；去耦等效电路；含耦合电感电路的分析；空心变压器和理想变压</w:t>
      </w:r>
      <w:r>
        <w:rPr>
          <w:rFonts w:ascii="Times New Roman" w:hAnsi="Times New Roman" w:eastAsia="宋体" w:cs="Times New Roman"/>
          <w:spacing w:val="1"/>
          <w:sz w:val="24"/>
          <w:szCs w:val="24"/>
        </w:rPr>
        <w:t>器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的工作原理和计算方法。</w:t>
      </w:r>
    </w:p>
    <w:p w14:paraId="2167083C">
      <w:pPr>
        <w:kinsoku/>
        <w:overflowPunct w:val="0"/>
        <w:spacing w:before="140" w:line="219" w:lineRule="auto"/>
        <w:ind w:left="488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2"/>
          <w:sz w:val="24"/>
          <w:szCs w:val="24"/>
        </w:rPr>
        <w:t>8、三相电路</w:t>
      </w:r>
    </w:p>
    <w:p w14:paraId="2D45674C">
      <w:pPr>
        <w:kinsoku/>
        <w:overflowPunct w:val="0"/>
        <w:spacing w:before="258" w:line="305" w:lineRule="auto"/>
        <w:ind w:left="22" w:right="8" w:firstLine="463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4"/>
          <w:sz w:val="24"/>
          <w:szCs w:val="24"/>
        </w:rPr>
        <w:t>对称三相电的概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念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，星型接法和三角形接法，中线的作用；对称三相电路的 线电压(电流)与相电压(电流)的关系；对称三相电路的电流、电压和功</w:t>
      </w:r>
      <w:r>
        <w:rPr>
          <w:rFonts w:ascii="Times New Roman" w:hAnsi="Times New Roman" w:eastAsia="宋体" w:cs="Times New Roman"/>
          <w:spacing w:val="3"/>
          <w:sz w:val="24"/>
          <w:szCs w:val="24"/>
        </w:rPr>
        <w:t>率的计算；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简单不对称三相电路的电</w:t>
      </w:r>
      <w:r>
        <w:rPr>
          <w:rFonts w:ascii="Times New Roman" w:hAnsi="Times New Roman" w:eastAsia="宋体" w:cs="Times New Roman"/>
          <w:sz w:val="24"/>
          <w:szCs w:val="24"/>
        </w:rPr>
        <w:t>压、电流和功率的计算；三相电路功率的测量。</w:t>
      </w:r>
    </w:p>
    <w:p w14:paraId="7B0C63B6">
      <w:pPr>
        <w:kinsoku/>
        <w:overflowPunct w:val="0"/>
        <w:spacing w:before="176" w:line="219" w:lineRule="auto"/>
        <w:ind w:left="486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20"/>
          <w:sz w:val="24"/>
          <w:szCs w:val="24"/>
        </w:rPr>
        <w:t>9</w:t>
      </w:r>
      <w:r>
        <w:rPr>
          <w:rFonts w:ascii="Times New Roman" w:hAnsi="Times New Roman" w:eastAsia="宋体" w:cs="Times New Roman"/>
          <w:spacing w:val="-13"/>
          <w:sz w:val="24"/>
          <w:szCs w:val="24"/>
        </w:rPr>
        <w:t>、非正弦周期电流电路</w:t>
      </w:r>
    </w:p>
    <w:p w14:paraId="669FBD6D">
      <w:pPr>
        <w:kinsoku/>
        <w:overflowPunct w:val="0"/>
        <w:spacing w:before="138" w:line="251" w:lineRule="auto"/>
        <w:ind w:left="22" w:right="28" w:firstLine="479"/>
        <w:jc w:val="both"/>
        <w:rPr>
          <w:rFonts w:ascii="Times New Roman" w:hAnsi="Times New Roman" w:eastAsia="宋体" w:cs="Times New Roman"/>
          <w:spacing w:val="3"/>
          <w:sz w:val="24"/>
          <w:szCs w:val="24"/>
        </w:rPr>
      </w:pPr>
      <w:r>
        <w:rPr>
          <w:rFonts w:ascii="Times New Roman" w:hAnsi="Times New Roman" w:eastAsia="宋体" w:cs="Times New Roman"/>
          <w:spacing w:val="-1"/>
          <w:sz w:val="24"/>
          <w:szCs w:val="24"/>
        </w:rPr>
        <w:t>周期函数分解为傅里叶</w:t>
      </w:r>
      <w:r>
        <w:rPr>
          <w:rFonts w:ascii="Times New Roman" w:hAnsi="Times New Roman" w:eastAsia="宋体" w:cs="Times New Roman"/>
          <w:sz w:val="24"/>
          <w:szCs w:val="24"/>
        </w:rPr>
        <w:t>级数；有效值、平均值和平均功率；非正弦周期电流电</w:t>
      </w:r>
      <w:r>
        <w:rPr>
          <w:rFonts w:ascii="Times New Roman" w:hAnsi="Times New Roman" w:eastAsia="宋体" w:cs="Times New Roman"/>
          <w:spacing w:val="7"/>
          <w:sz w:val="24"/>
          <w:szCs w:val="24"/>
        </w:rPr>
        <w:t>路的计算(电压、电流、功率)</w:t>
      </w:r>
      <w:r>
        <w:rPr>
          <w:rFonts w:ascii="Times New Roman" w:hAnsi="Times New Roman" w:eastAsia="宋体" w:cs="Times New Roman"/>
          <w:spacing w:val="3"/>
          <w:sz w:val="24"/>
          <w:szCs w:val="24"/>
        </w:rPr>
        <w:t>。</w:t>
      </w:r>
    </w:p>
    <w:p w14:paraId="1B2D9E43">
      <w:pPr>
        <w:kinsoku/>
        <w:overflowPunct w:val="0"/>
        <w:spacing w:before="176" w:line="219" w:lineRule="auto"/>
        <w:ind w:left="486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1"/>
          <w:sz w:val="24"/>
          <w:szCs w:val="24"/>
        </w:rPr>
        <w:t>10、线性动态电路的复</w:t>
      </w:r>
      <w:r>
        <w:rPr>
          <w:rFonts w:ascii="Times New Roman" w:hAnsi="Times New Roman" w:eastAsia="宋体" w:cs="Times New Roman"/>
          <w:sz w:val="24"/>
          <w:szCs w:val="24"/>
        </w:rPr>
        <w:t>频域分析</w:t>
      </w:r>
    </w:p>
    <w:p w14:paraId="1B6F2503">
      <w:pPr>
        <w:kinsoku/>
        <w:overflowPunct w:val="0"/>
        <w:spacing w:before="138" w:line="251" w:lineRule="auto"/>
        <w:ind w:left="22" w:right="28" w:firstLine="479"/>
        <w:jc w:val="both"/>
        <w:rPr>
          <w:rFonts w:ascii="Times New Roman" w:hAnsi="Times New Roman" w:eastAsia="宋体" w:cs="Times New Roman"/>
          <w:spacing w:val="3"/>
          <w:sz w:val="24"/>
          <w:szCs w:val="24"/>
        </w:rPr>
      </w:pPr>
      <w:r>
        <w:rPr>
          <w:rFonts w:ascii="Times New Roman" w:hAnsi="Times New Roman" w:eastAsia="宋体" w:cs="Times New Roman"/>
          <w:spacing w:val="3"/>
          <w:sz w:val="24"/>
          <w:szCs w:val="24"/>
        </w:rPr>
        <w:t>拉普拉斯变换的定义和性质；拉氏反变换的部分分式展开；两类约束的复频域形式及运算电路；用运算法分析线性动态电路；网络函数及其应用；网络函数的极点和零点；极点、零点与冲激响应；极点、零点与频率响应。</w:t>
      </w:r>
    </w:p>
    <w:p w14:paraId="6AD3DEA6">
      <w:pPr>
        <w:kinsoku/>
        <w:overflowPunct w:val="0"/>
        <w:spacing w:before="176" w:line="219" w:lineRule="auto"/>
        <w:ind w:left="486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6"/>
          <w:sz w:val="24"/>
          <w:szCs w:val="24"/>
        </w:rPr>
        <w:t>1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1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、二端口网络</w:t>
      </w:r>
    </w:p>
    <w:p w14:paraId="39DA8BE9">
      <w:pPr>
        <w:kinsoku/>
        <w:overflowPunct w:val="0"/>
        <w:topLinePunct/>
        <w:autoSpaceDE/>
        <w:autoSpaceDN/>
        <w:spacing w:before="138" w:line="252" w:lineRule="auto"/>
        <w:ind w:left="23" w:right="28" w:firstLine="476"/>
        <w:jc w:val="both"/>
        <w:rPr>
          <w:rFonts w:ascii="Times New Roman" w:hAnsi="Times New Roman" w:eastAsia="宋体" w:cs="Times New Roman"/>
          <w:spacing w:val="3"/>
          <w:sz w:val="24"/>
          <w:szCs w:val="24"/>
        </w:rPr>
      </w:pPr>
      <w:r>
        <w:rPr>
          <w:rFonts w:ascii="Times New Roman" w:hAnsi="Times New Roman" w:eastAsia="宋体" w:cs="Times New Roman"/>
          <w:spacing w:val="3"/>
          <w:sz w:val="24"/>
          <w:szCs w:val="24"/>
        </w:rPr>
        <w:t>二端口网络的 Y 参数、Z 参数、T 参数和 H 参数计算；各参数间的关系；二 端口网络的等效电路；二端口网络的联结；含有二端口网络电路的计算。</w:t>
      </w:r>
    </w:p>
    <w:sectPr>
      <w:footerReference r:id="rId3" w:type="default"/>
      <w:pgSz w:w="11907" w:h="16839"/>
      <w:pgMar w:top="1431" w:right="1785" w:bottom="1157" w:left="1785" w:header="0" w:footer="9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4006E">
    <w:pPr>
      <w:spacing w:line="188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167DB"/>
    <w:multiLevelType w:val="singleLevel"/>
    <w:tmpl w:val="8FD167DB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65110E"/>
    <w:rsid w:val="00063583"/>
    <w:rsid w:val="00090923"/>
    <w:rsid w:val="000A521E"/>
    <w:rsid w:val="00114256"/>
    <w:rsid w:val="00143A7E"/>
    <w:rsid w:val="00156C8D"/>
    <w:rsid w:val="00165A63"/>
    <w:rsid w:val="00187A46"/>
    <w:rsid w:val="001958FB"/>
    <w:rsid w:val="001B4EE4"/>
    <w:rsid w:val="00205B6B"/>
    <w:rsid w:val="00207EFD"/>
    <w:rsid w:val="00255475"/>
    <w:rsid w:val="00282DB1"/>
    <w:rsid w:val="00290D41"/>
    <w:rsid w:val="00296D26"/>
    <w:rsid w:val="002C35A7"/>
    <w:rsid w:val="002C3BD2"/>
    <w:rsid w:val="002C7ECD"/>
    <w:rsid w:val="002D651A"/>
    <w:rsid w:val="002E5A72"/>
    <w:rsid w:val="00330F23"/>
    <w:rsid w:val="00384D05"/>
    <w:rsid w:val="003B1DEA"/>
    <w:rsid w:val="003E1D87"/>
    <w:rsid w:val="004A69E2"/>
    <w:rsid w:val="004C5540"/>
    <w:rsid w:val="005449E0"/>
    <w:rsid w:val="0065110E"/>
    <w:rsid w:val="00667A47"/>
    <w:rsid w:val="00683D3C"/>
    <w:rsid w:val="006A2AF9"/>
    <w:rsid w:val="006B41D2"/>
    <w:rsid w:val="006C1FB0"/>
    <w:rsid w:val="006C7294"/>
    <w:rsid w:val="006D1C7C"/>
    <w:rsid w:val="006F3047"/>
    <w:rsid w:val="0071660E"/>
    <w:rsid w:val="00725DA9"/>
    <w:rsid w:val="00745595"/>
    <w:rsid w:val="007B2A57"/>
    <w:rsid w:val="007C6404"/>
    <w:rsid w:val="0080220C"/>
    <w:rsid w:val="00835569"/>
    <w:rsid w:val="00880020"/>
    <w:rsid w:val="008A3C79"/>
    <w:rsid w:val="00902FC7"/>
    <w:rsid w:val="009171D8"/>
    <w:rsid w:val="0093636E"/>
    <w:rsid w:val="0094085F"/>
    <w:rsid w:val="00951C5A"/>
    <w:rsid w:val="0098691C"/>
    <w:rsid w:val="009E6AB8"/>
    <w:rsid w:val="00A438FC"/>
    <w:rsid w:val="00A4518B"/>
    <w:rsid w:val="00A50D32"/>
    <w:rsid w:val="00AA706B"/>
    <w:rsid w:val="00AF6CD3"/>
    <w:rsid w:val="00B10932"/>
    <w:rsid w:val="00B262A6"/>
    <w:rsid w:val="00B36842"/>
    <w:rsid w:val="00B9030D"/>
    <w:rsid w:val="00B97C28"/>
    <w:rsid w:val="00BB7524"/>
    <w:rsid w:val="00C47B3D"/>
    <w:rsid w:val="00C960E9"/>
    <w:rsid w:val="00CC61F9"/>
    <w:rsid w:val="00CF0300"/>
    <w:rsid w:val="00D268DF"/>
    <w:rsid w:val="00D91F76"/>
    <w:rsid w:val="00D9317A"/>
    <w:rsid w:val="00DD5BE0"/>
    <w:rsid w:val="00DE289C"/>
    <w:rsid w:val="00E062D5"/>
    <w:rsid w:val="00E159C7"/>
    <w:rsid w:val="00E37A50"/>
    <w:rsid w:val="00E54318"/>
    <w:rsid w:val="00E62305"/>
    <w:rsid w:val="00E95B84"/>
    <w:rsid w:val="00F1312E"/>
    <w:rsid w:val="00F664FD"/>
    <w:rsid w:val="00F803C5"/>
    <w:rsid w:val="00F938EB"/>
    <w:rsid w:val="18701FA7"/>
    <w:rsid w:val="2748090A"/>
    <w:rsid w:val="3C17225A"/>
    <w:rsid w:val="567216A7"/>
    <w:rsid w:val="5A3A6800"/>
    <w:rsid w:val="5A747D9B"/>
    <w:rsid w:val="5ED4062A"/>
    <w:rsid w:val="74F02341"/>
    <w:rsid w:val="79333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rFonts w:eastAsia="Arial"/>
      <w:snapToGrid/>
      <w:color w:val="000000"/>
      <w:sz w:val="18"/>
      <w:szCs w:val="18"/>
    </w:rPr>
  </w:style>
  <w:style w:type="character" w:customStyle="1" w:styleId="7">
    <w:name w:val="页眉 字符"/>
    <w:link w:val="3"/>
    <w:uiPriority w:val="0"/>
    <w:rPr>
      <w:rFonts w:eastAsia="Arial"/>
      <w:snapToGrid/>
      <w:color w:val="000000"/>
      <w:sz w:val="18"/>
      <w:szCs w:val="18"/>
    </w:rPr>
  </w:style>
  <w:style w:type="table" w:customStyle="1" w:styleId="8">
    <w:name w:val="Table Normal"/>
    <w:unhideWhenUsed/>
    <w:qFormat/>
    <w:uiPriority w:val="0"/>
    <w:rPr>
      <w:lang w:val="en-US" w:eastAsia="zh-CN" w:bidi="ar-SA"/>
    </w:rPr>
    <w:tblPr>
      <w:tblStyle w:val="4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"/>
    <w:unhideWhenUsed/>
    <w:uiPriority w:val="99"/>
    <w:rPr>
      <w:rFonts w:eastAsia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1534</Words>
  <Characters>1557</Characters>
  <Lines>11</Lines>
  <Paragraphs>3</Paragraphs>
  <TotalTime>0</TotalTime>
  <ScaleCrop>false</ScaleCrop>
  <LinksUpToDate>false</LinksUpToDate>
  <CharactersWithSpaces>1581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2024-09-27T08:03:00Z</dcterms:created>
  <dc:creator>朱冬冬</dc:creator>
  <cp:lastModifiedBy>vertesyuan</cp:lastModifiedBy>
  <dcterms:modified xsi:type="dcterms:W3CDTF">2024-10-10T05:12:40Z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2023-07-23T11:11:30Z</vt:filetime>
  </property>
  <property fmtid="{D5CDD505-2E9C-101B-9397-08002B2CF9AE}" pid="4" name="KSOProductBuildVer">
    <vt:lpwstr>2052-12.1.0.18276</vt:lpwstr>
  </property>
  <property fmtid="{D5CDD505-2E9C-101B-9397-08002B2CF9AE}" pid="5" name="ICV">
    <vt:lpwstr>AB2CDA4CFCD24D21B3BCBD6BA08C978B_13</vt:lpwstr>
  </property>
</Properties>
</file>