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36" w:right="1758" w:hanging="127"/>
        <w:spacing w:before="161" w:line="29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《风景园林基础》考研考试大纲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86"/>
        <w:spacing w:before="288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6"/>
        </w:rPr>
        <w:t>试卷满分为</w:t>
      </w:r>
      <w:r>
        <w:rPr>
          <w:spacing w:val="-31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分，考试时间为</w:t>
      </w:r>
      <w:r>
        <w:rPr>
          <w:spacing w:val="-42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-2"/>
        </w:rPr>
        <w:t>答题方式为闭卷、笔试。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1" w:line="223" w:lineRule="auto"/>
        <w:rPr/>
      </w:pPr>
      <w:r>
        <w:rPr>
          <w:b/>
          <w:bCs/>
          <w:spacing w:val="-4"/>
        </w:rPr>
        <w:t>三、试卷的内容结构</w:t>
      </w:r>
      <w:r>
        <w:rPr>
          <w:spacing w:val="-4"/>
        </w:rPr>
        <w:t>（知识点）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2" w:line="227" w:lineRule="auto"/>
        <w:rPr/>
      </w:pPr>
      <w:r>
        <w:rPr>
          <w:rFonts w:ascii="KaiTi" w:hAnsi="KaiTi" w:eastAsia="KaiTi" w:cs="KaiTi"/>
          <w:spacing w:val="3"/>
        </w:rPr>
        <w:t>1</w:t>
      </w:r>
      <w:r>
        <w:rPr>
          <w:b/>
          <w:bCs/>
          <w:spacing w:val="3"/>
        </w:rPr>
        <w:t>.</w:t>
      </w:r>
      <w:r>
        <w:rPr>
          <w:rFonts w:ascii="KaiTi" w:hAnsi="KaiTi" w:eastAsia="KaiTi" w:cs="KaiTi"/>
          <w:spacing w:val="3"/>
        </w:rPr>
        <w:t>风景园林历史</w:t>
      </w:r>
      <w:r>
        <w:rPr>
          <w:rFonts w:ascii="KaiTi" w:hAnsi="KaiTi" w:eastAsia="KaiTi" w:cs="KaiTi"/>
          <w:spacing w:val="1"/>
        </w:rPr>
        <w:t xml:space="preserve">                          </w:t>
      </w:r>
      <w:r>
        <w:rPr>
          <w:rFonts w:ascii="KaiTi" w:hAnsi="KaiTi" w:eastAsia="KaiTi" w:cs="KaiTi"/>
          <w:spacing w:val="3"/>
        </w:rPr>
        <w:t>约</w:t>
      </w:r>
      <w:r>
        <w:rPr>
          <w:rFonts w:ascii="KaiTi" w:hAnsi="KaiTi" w:eastAsia="KaiTi" w:cs="KaiTi"/>
          <w:spacing w:val="-55"/>
        </w:rPr>
        <w:t xml:space="preserve"> </w:t>
      </w:r>
      <w:r>
        <w:rPr>
          <w:spacing w:val="3"/>
        </w:rPr>
        <w:t>30%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572"/>
        <w:spacing w:before="92" w:line="227" w:lineRule="auto"/>
        <w:rPr/>
      </w:pPr>
      <w:r>
        <w:rPr>
          <w:rFonts w:ascii="KaiTi" w:hAnsi="KaiTi" w:eastAsia="KaiTi" w:cs="KaiTi"/>
          <w:spacing w:val="3"/>
        </w:rPr>
        <w:t>2</w:t>
      </w:r>
      <w:r>
        <w:rPr>
          <w:b/>
          <w:bCs/>
          <w:spacing w:val="3"/>
        </w:rPr>
        <w:t>.</w:t>
      </w:r>
      <w:r>
        <w:rPr>
          <w:rFonts w:ascii="KaiTi" w:hAnsi="KaiTi" w:eastAsia="KaiTi" w:cs="KaiTi"/>
          <w:spacing w:val="3"/>
        </w:rPr>
        <w:t>风景园林规划设计及理论</w:t>
      </w:r>
      <w:r>
        <w:rPr>
          <w:rFonts w:ascii="KaiTi" w:hAnsi="KaiTi" w:eastAsia="KaiTi" w:cs="KaiTi"/>
          <w:spacing w:val="2"/>
        </w:rPr>
        <w:t xml:space="preserve">                </w:t>
      </w:r>
      <w:r>
        <w:rPr>
          <w:rFonts w:ascii="KaiTi" w:hAnsi="KaiTi" w:eastAsia="KaiTi" w:cs="KaiTi"/>
          <w:spacing w:val="3"/>
        </w:rPr>
        <w:t>约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spacing w:val="3"/>
        </w:rPr>
        <w:t>45%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28" w:lineRule="auto"/>
        <w:rPr/>
      </w:pPr>
      <w:r>
        <w:rPr>
          <w:rFonts w:ascii="KaiTi" w:hAnsi="KaiTi" w:eastAsia="KaiTi" w:cs="KaiTi"/>
          <w:spacing w:val="4"/>
        </w:rPr>
        <w:t>3</w:t>
      </w:r>
      <w:r>
        <w:rPr>
          <w:b/>
          <w:bCs/>
          <w:spacing w:val="4"/>
        </w:rPr>
        <w:t>.</w:t>
      </w:r>
      <w:r>
        <w:rPr>
          <w:rFonts w:ascii="KaiTi" w:hAnsi="KaiTi" w:eastAsia="KaiTi" w:cs="KaiTi"/>
          <w:spacing w:val="4"/>
        </w:rPr>
        <w:t>园林植物与应用</w:t>
      </w:r>
      <w:r>
        <w:rPr>
          <w:rFonts w:ascii="KaiTi" w:hAnsi="KaiTi" w:eastAsia="KaiTi" w:cs="KaiTi"/>
          <w:spacing w:val="1"/>
        </w:rPr>
        <w:t xml:space="preserve">                        </w:t>
      </w:r>
      <w:r>
        <w:rPr>
          <w:rFonts w:ascii="KaiTi" w:hAnsi="KaiTi" w:eastAsia="KaiTi" w:cs="KaiTi"/>
          <w:spacing w:val="4"/>
        </w:rPr>
        <w:t>约</w:t>
      </w:r>
      <w:r>
        <w:rPr>
          <w:rFonts w:ascii="KaiTi" w:hAnsi="KaiTi" w:eastAsia="KaiTi" w:cs="KaiTi"/>
          <w:spacing w:val="-55"/>
        </w:rPr>
        <w:t xml:space="preserve"> </w:t>
      </w:r>
      <w:r>
        <w:rPr>
          <w:spacing w:val="4"/>
        </w:rPr>
        <w:t>25%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2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92" w:line="223" w:lineRule="auto"/>
        <w:outlineLvl w:val="2"/>
        <w:rPr/>
      </w:pPr>
      <w:r>
        <w:rPr>
          <w:b/>
          <w:bCs/>
          <w:spacing w:val="-7"/>
        </w:rPr>
        <w:t>1.名词解释题</w:t>
      </w:r>
    </w:p>
    <w:p>
      <w:pPr>
        <w:pStyle w:val="BodyText"/>
        <w:ind w:left="586"/>
        <w:spacing w:before="285" w:line="222" w:lineRule="auto"/>
        <w:outlineLvl w:val="2"/>
        <w:rPr/>
      </w:pPr>
      <w:r>
        <w:rPr>
          <w:b/>
          <w:bCs/>
          <w:spacing w:val="-5"/>
        </w:rPr>
        <w:t>2.简答题</w:t>
      </w:r>
    </w:p>
    <w:p>
      <w:pPr>
        <w:pStyle w:val="BodyText"/>
        <w:ind w:left="588"/>
        <w:spacing w:before="288" w:line="224" w:lineRule="auto"/>
        <w:outlineLvl w:val="2"/>
        <w:rPr/>
      </w:pPr>
      <w:r>
        <w:rPr>
          <w:b/>
          <w:bCs/>
          <w:spacing w:val="-5"/>
        </w:rPr>
        <w:t>3.论述题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39" w:right="13" w:firstLine="5"/>
        <w:spacing w:before="286" w:line="397" w:lineRule="auto"/>
        <w:rPr/>
      </w:pPr>
      <w:r>
        <w:rPr/>
        <w:t>1、风景园林规划设计及理论：包括国内外园林规划设计理论、各类</w:t>
      </w:r>
      <w:r>
        <w:rPr>
          <w:spacing w:val="14"/>
        </w:rPr>
        <w:t xml:space="preserve"> </w:t>
      </w:r>
      <w:r>
        <w:rPr>
          <w:spacing w:val="-2"/>
        </w:rPr>
        <w:t>不同尺度景观规划与设计的方法与内容等。</w:t>
      </w:r>
    </w:p>
    <w:p>
      <w:pPr>
        <w:pStyle w:val="BodyText"/>
        <w:spacing w:before="45" w:line="223" w:lineRule="auto"/>
        <w:jc w:val="right"/>
        <w:rPr/>
      </w:pPr>
      <w:r>
        <w:rPr>
          <w:spacing w:val="1"/>
        </w:rPr>
        <w:t>2、风景园林历史：包括中外园林史，中外园林的不同风格特点、发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3"/>
        <w:spacing w:before="180" w:line="224" w:lineRule="auto"/>
        <w:rPr/>
      </w:pPr>
      <w:r>
        <w:rPr>
          <w:spacing w:val="-3"/>
        </w:rPr>
        <w:t>展演变历程等。</w:t>
      </w:r>
    </w:p>
    <w:p>
      <w:pPr>
        <w:pStyle w:val="BodyText"/>
        <w:ind w:left="32" w:right="13" w:hanging="3"/>
        <w:spacing w:before="284" w:line="396" w:lineRule="auto"/>
        <w:rPr/>
      </w:pPr>
      <w:r>
        <w:rPr>
          <w:spacing w:val="1"/>
        </w:rPr>
        <w:t>3、园林植物与应用：包括园林植物的生态习性、常见园林植物的应</w:t>
      </w:r>
      <w:r>
        <w:rPr/>
        <w:t xml:space="preserve"> </w:t>
      </w:r>
      <w:r>
        <w:rPr>
          <w:spacing w:val="-2"/>
        </w:rPr>
        <w:t>用、植物景观设计原理与方法。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2022-09-27T10:17:30Z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2024-10-14T10:24:14</vt:filetime>
  </property>
</Properties>
</file>