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248" w:right="538" w:hanging="2120"/>
        <w:spacing w:before="216" w:line="297" w:lineRule="auto"/>
        <w:outlineLvl w:val="0"/>
        <w:rPr>
          <w:rFonts w:ascii="SimHei" w:hAnsi="SimHei" w:eastAsia="SimHei" w:cs="SimHei"/>
          <w:sz w:val="31"/>
          <w:szCs w:val="31"/>
        </w:rPr>
      </w:pPr>
      <w:r>
        <w:rPr>
          <w:rFonts w:ascii="SimHei" w:hAnsi="SimHei" w:eastAsia="SimHei" w:cs="SimHei"/>
          <w:sz w:val="31"/>
          <w:szCs w:val="31"/>
          <w:spacing w:val="7"/>
        </w:rPr>
        <w:t>天津商业大学</w:t>
      </w:r>
      <w:r>
        <w:rPr>
          <w:rFonts w:ascii="Times New Roman" w:hAnsi="Times New Roman" w:eastAsia="Times New Roman" w:cs="Times New Roman"/>
          <w:sz w:val="31"/>
          <w:szCs w:val="31"/>
          <w:spacing w:val="7"/>
        </w:rPr>
        <w:t>2025</w:t>
      </w:r>
      <w:r>
        <w:rPr>
          <w:rFonts w:ascii="SimHei" w:hAnsi="SimHei" w:eastAsia="SimHei" w:cs="SimHei"/>
          <w:sz w:val="31"/>
          <w:szCs w:val="31"/>
          <w:spacing w:val="7"/>
        </w:rPr>
        <w:t>年硕士研究生招生考试（初试）</w:t>
      </w:r>
      <w:r>
        <w:rPr>
          <w:rFonts w:ascii="SimHei" w:hAnsi="SimHei" w:eastAsia="SimHei" w:cs="SimHei"/>
          <w:sz w:val="31"/>
          <w:szCs w:val="31"/>
          <w:spacing w:val="1"/>
        </w:rPr>
        <w:t xml:space="preserve"> </w:t>
      </w:r>
      <w:r>
        <w:rPr>
          <w:rFonts w:ascii="SimHei" w:hAnsi="SimHei" w:eastAsia="SimHei" w:cs="SimHei"/>
          <w:sz w:val="31"/>
          <w:szCs w:val="31"/>
          <w:spacing w:val="4"/>
        </w:rPr>
        <w:t>自命题科目考试大纲</w:t>
      </w:r>
    </w:p>
    <w:p>
      <w:pPr>
        <w:spacing w:line="275" w:lineRule="auto"/>
        <w:rPr>
          <w:rFonts w:ascii="Arial"/>
          <w:sz w:val="21"/>
        </w:rPr>
      </w:pPr>
      <w:r/>
    </w:p>
    <w:p>
      <w:pPr>
        <w:ind w:left="481"/>
        <w:spacing w:before="78" w:line="218" w:lineRule="auto"/>
        <w:rPr>
          <w:rFonts w:ascii="SimHei" w:hAnsi="SimHei" w:eastAsia="SimHei" w:cs="SimHei"/>
          <w:sz w:val="24"/>
          <w:szCs w:val="24"/>
        </w:rPr>
      </w:pPr>
      <w:r>
        <w:rPr>
          <w:rFonts w:ascii="SimHei" w:hAnsi="SimHei" w:eastAsia="SimHei" w:cs="SimHei"/>
          <w:sz w:val="24"/>
          <w:szCs w:val="24"/>
          <w:spacing w:val="-1"/>
        </w:rPr>
        <w:t>科目代码：</w:t>
      </w:r>
      <w:r>
        <w:rPr>
          <w:rFonts w:ascii="Times New Roman" w:hAnsi="Times New Roman" w:eastAsia="Times New Roman" w:cs="Times New Roman"/>
          <w:sz w:val="24"/>
          <w:szCs w:val="24"/>
          <w:spacing w:val="-1"/>
        </w:rPr>
        <w:t>813           </w:t>
      </w:r>
      <w:r>
        <w:rPr>
          <w:rFonts w:ascii="SimHei" w:hAnsi="SimHei" w:eastAsia="SimHei" w:cs="SimHei"/>
          <w:sz w:val="24"/>
          <w:szCs w:val="24"/>
          <w:spacing w:val="-1"/>
        </w:rPr>
        <w:t>科目名称：公共政策学</w:t>
      </w:r>
    </w:p>
    <w:p>
      <w:pPr>
        <w:ind w:left="484"/>
        <w:spacing w:before="304" w:line="218" w:lineRule="auto"/>
        <w:rPr>
          <w:rFonts w:ascii="SimHei" w:hAnsi="SimHei" w:eastAsia="SimHei" w:cs="SimHei"/>
          <w:sz w:val="24"/>
          <w:szCs w:val="24"/>
        </w:rPr>
      </w:pPr>
      <w:r>
        <w:rPr>
          <w:rFonts w:ascii="SimHei" w:hAnsi="SimHei" w:eastAsia="SimHei" w:cs="SimHei"/>
          <w:sz w:val="24"/>
          <w:szCs w:val="24"/>
          <w:spacing w:val="-4"/>
        </w:rPr>
        <w:t>一、考试要求</w:t>
      </w:r>
    </w:p>
    <w:p>
      <w:pPr>
        <w:pStyle w:val="BodyText"/>
        <w:ind w:right="8" w:firstLine="468"/>
        <w:spacing w:before="305" w:line="354" w:lineRule="auto"/>
        <w:jc w:val="both"/>
        <w:rPr/>
      </w:pPr>
      <w:r>
        <w:rPr/>
        <w:t>本考试科目为公共管理专业学术型硕士学位研究生入学考试科目之一，要求考</w:t>
      </w:r>
      <w:r>
        <w:rPr>
          <w:spacing w:val="5"/>
        </w:rPr>
        <w:t xml:space="preserve"> </w:t>
      </w:r>
      <w:r>
        <w:rPr>
          <w:spacing w:val="7"/>
        </w:rPr>
        <w:t>生系统掌握公共政策学科在政策主体、政策议程、政策决策</w:t>
      </w:r>
      <w:r>
        <w:rPr>
          <w:spacing w:val="6"/>
        </w:rPr>
        <w:t>、政策执行、政策评</w:t>
      </w:r>
      <w:r>
        <w:rPr/>
        <w:t xml:space="preserve"> </w:t>
      </w:r>
      <w:r>
        <w:rPr>
          <w:spacing w:val="7"/>
        </w:rPr>
        <w:t>估、政策创新、政策学习、政策试验、政策扩散、政策变迁、政策变</w:t>
      </w:r>
      <w:r>
        <w:rPr>
          <w:spacing w:val="6"/>
        </w:rPr>
        <w:t>迁、政策终</w:t>
      </w:r>
      <w:r>
        <w:rPr/>
        <w:t xml:space="preserve"> </w:t>
      </w:r>
      <w:r>
        <w:rPr/>
        <w:t>结、政策分析等领域的基本理论与方法，并会运用公共政策学的基本知识解析政策</w:t>
      </w:r>
      <w:r>
        <w:rPr>
          <w:spacing w:val="7"/>
        </w:rPr>
        <w:t xml:space="preserve"> </w:t>
      </w:r>
      <w:r>
        <w:rPr>
          <w:spacing w:val="-11"/>
        </w:rPr>
        <w:t>实践问题。</w:t>
      </w:r>
    </w:p>
    <w:p>
      <w:pPr>
        <w:ind w:left="484"/>
        <w:spacing w:before="31" w:line="218" w:lineRule="auto"/>
        <w:rPr>
          <w:rFonts w:ascii="SimHei" w:hAnsi="SimHei" w:eastAsia="SimHei" w:cs="SimHei"/>
          <w:sz w:val="24"/>
          <w:szCs w:val="24"/>
        </w:rPr>
      </w:pPr>
      <w:r>
        <w:rPr>
          <w:rFonts w:ascii="SimHei" w:hAnsi="SimHei" w:eastAsia="SimHei" w:cs="SimHei"/>
          <w:sz w:val="24"/>
          <w:szCs w:val="24"/>
          <w:spacing w:val="-2"/>
        </w:rPr>
        <w:t>二、考试形式及时间</w:t>
      </w:r>
    </w:p>
    <w:p>
      <w:pPr>
        <w:pStyle w:val="BodyText"/>
        <w:ind w:left="481"/>
        <w:spacing w:before="304" w:line="219" w:lineRule="auto"/>
        <w:rPr/>
      </w:pPr>
      <w:r>
        <w:rPr>
          <w:spacing w:val="-2"/>
        </w:rPr>
        <w:t>本考试科目采取闭卷笔试，考试时间为</w:t>
      </w:r>
      <w:r>
        <w:rPr>
          <w:rFonts w:ascii="Times New Roman" w:hAnsi="Times New Roman" w:eastAsia="Times New Roman" w:cs="Times New Roman"/>
          <w:spacing w:val="-2"/>
        </w:rPr>
        <w:t>3</w:t>
      </w:r>
      <w:r>
        <w:rPr>
          <w:spacing w:val="-2"/>
        </w:rPr>
        <w:t>个小时。</w:t>
      </w:r>
    </w:p>
    <w:p>
      <w:pPr>
        <w:ind w:left="485"/>
        <w:spacing w:before="182" w:line="218" w:lineRule="auto"/>
        <w:rPr>
          <w:rFonts w:ascii="SimHei" w:hAnsi="SimHei" w:eastAsia="SimHei" w:cs="SimHei"/>
          <w:sz w:val="24"/>
          <w:szCs w:val="24"/>
        </w:rPr>
      </w:pPr>
      <w:r>
        <w:rPr>
          <w:rFonts w:ascii="SimHei" w:hAnsi="SimHei" w:eastAsia="SimHei" w:cs="SimHei"/>
          <w:sz w:val="24"/>
          <w:szCs w:val="24"/>
          <w:spacing w:val="-3"/>
        </w:rPr>
        <w:t>三、考试内容</w:t>
      </w:r>
    </w:p>
    <w:p>
      <w:pPr>
        <w:pStyle w:val="BodyText"/>
        <w:ind w:left="11" w:right="2" w:firstLine="461"/>
        <w:spacing w:before="306" w:line="344" w:lineRule="auto"/>
        <w:rPr/>
      </w:pPr>
      <w:r>
        <w:rPr>
          <w:rFonts w:ascii="Times New Roman" w:hAnsi="Times New Roman" w:eastAsia="Times New Roman" w:cs="Times New Roman"/>
          <w:spacing w:val="-11"/>
        </w:rPr>
        <w:t>1.</w:t>
      </w:r>
      <w:r>
        <w:rPr>
          <w:spacing w:val="-11"/>
        </w:rPr>
        <w:t>掌握公共政策的概念、类型、表现形式、构成要素和功能，掌握公共政策学发展</w:t>
      </w:r>
      <w:r>
        <w:rPr>
          <w:spacing w:val="8"/>
        </w:rPr>
        <w:t xml:space="preserve"> </w:t>
      </w:r>
      <w:r>
        <w:rPr>
          <w:spacing w:val="-13"/>
        </w:rPr>
        <w:t>阶段、学科特点和主要研究领域。</w:t>
      </w:r>
    </w:p>
    <w:p>
      <w:pPr>
        <w:pStyle w:val="BodyText"/>
        <w:ind w:firstLine="449"/>
        <w:spacing w:before="38" w:line="350" w:lineRule="auto"/>
        <w:jc w:val="both"/>
        <w:rPr/>
      </w:pPr>
      <w:r>
        <w:rPr>
          <w:rFonts w:ascii="Times New Roman" w:hAnsi="Times New Roman" w:eastAsia="Times New Roman" w:cs="Times New Roman"/>
          <w:spacing w:val="-10"/>
        </w:rPr>
        <w:t>2.</w:t>
      </w:r>
      <w:r>
        <w:rPr>
          <w:spacing w:val="-10"/>
        </w:rPr>
        <w:t>掌握政策系统组成要素，掌握政策主体的分类以及中西方政策主体</w:t>
      </w:r>
      <w:r>
        <w:rPr>
          <w:spacing w:val="-11"/>
        </w:rPr>
        <w:t>差异性，掌握</w:t>
      </w:r>
      <w:r>
        <w:rPr/>
        <w:t xml:space="preserve"> </w:t>
      </w:r>
      <w:r>
        <w:rPr>
          <w:spacing w:val="-12"/>
        </w:rPr>
        <w:t>国家权力纵横向分类，掌握政策过程的常见划分方法，掌握政策工具</w:t>
      </w:r>
      <w:r>
        <w:rPr>
          <w:spacing w:val="-13"/>
        </w:rPr>
        <w:t>的含义及分类，掌</w:t>
      </w:r>
      <w:r>
        <w:rPr/>
        <w:t xml:space="preserve"> </w:t>
      </w:r>
      <w:r>
        <w:rPr>
          <w:spacing w:val="-12"/>
        </w:rPr>
        <w:t>握政策工具选择路径及基本流程。</w:t>
      </w:r>
    </w:p>
    <w:p>
      <w:pPr>
        <w:pStyle w:val="BodyText"/>
        <w:ind w:left="2" w:firstLine="452"/>
        <w:spacing w:before="35" w:line="350" w:lineRule="auto"/>
        <w:jc w:val="both"/>
        <w:rPr/>
      </w:pPr>
      <w:r>
        <w:rPr>
          <w:rFonts w:ascii="Times New Roman" w:hAnsi="Times New Roman" w:eastAsia="Times New Roman" w:cs="Times New Roman"/>
          <w:spacing w:val="-10"/>
        </w:rPr>
        <w:t>3.</w:t>
      </w:r>
      <w:r>
        <w:rPr>
          <w:spacing w:val="-10"/>
        </w:rPr>
        <w:t>掌握理论模型与功能，掌握政策模式评价标准，从理性</w:t>
      </w:r>
      <w:r>
        <w:rPr>
          <w:spacing w:val="-11"/>
        </w:rPr>
        <w:t>、权力角度掌握政策模型</w:t>
      </w:r>
      <w:r>
        <w:rPr/>
        <w:t xml:space="preserve"> </w:t>
      </w:r>
      <w:r>
        <w:rPr>
          <w:spacing w:val="-13"/>
        </w:rPr>
        <w:t>经典</w:t>
      </w:r>
      <w:r>
        <w:rPr>
          <w:spacing w:val="-12"/>
        </w:rPr>
        <w:t>类型，阐释和评述国内外解析中国政策过程的代表性理论，</w:t>
      </w:r>
      <w:r>
        <w:rPr>
          <w:spacing w:val="-13"/>
        </w:rPr>
        <w:t>阐释和评述中国学者</w:t>
      </w:r>
      <w:r>
        <w:rPr>
          <w:spacing w:val="-11"/>
        </w:rPr>
        <w:t>提</w:t>
      </w:r>
      <w:r>
        <w:rPr/>
        <w:t xml:space="preserve"> </w:t>
      </w:r>
      <w:r>
        <w:rPr>
          <w:spacing w:val="-12"/>
        </w:rPr>
        <w:t>出的有影响力的本土化政策模型。</w:t>
      </w:r>
    </w:p>
    <w:p>
      <w:pPr>
        <w:pStyle w:val="BodyText"/>
        <w:ind w:firstLine="448"/>
        <w:spacing w:before="37" w:line="350" w:lineRule="auto"/>
        <w:jc w:val="both"/>
        <w:rPr/>
      </w:pPr>
      <w:r>
        <w:rPr>
          <w:rFonts w:ascii="Times New Roman" w:hAnsi="Times New Roman" w:eastAsia="Times New Roman" w:cs="Times New Roman"/>
          <w:spacing w:val="-10"/>
        </w:rPr>
        <w:t>4.</w:t>
      </w:r>
      <w:r>
        <w:rPr>
          <w:spacing w:val="-10"/>
        </w:rPr>
        <w:t>掌握政策问题构建主要因素、分类方法、特点，掌握政策议程的含义和</w:t>
      </w:r>
      <w:r>
        <w:rPr>
          <w:spacing w:val="-11"/>
        </w:rPr>
        <w:t>分类、触</w:t>
      </w:r>
      <w:r>
        <w:rPr/>
        <w:t xml:space="preserve"> </w:t>
      </w:r>
      <w:r>
        <w:rPr>
          <w:spacing w:val="-12"/>
        </w:rPr>
        <w:t>发机制和主导力量，掌握和评述多源流理论、政策企业家理论，掌握</w:t>
      </w:r>
      <w:r>
        <w:rPr>
          <w:spacing w:val="-13"/>
        </w:rPr>
        <w:t>中国政策议程主要</w:t>
      </w:r>
      <w:r>
        <w:rPr/>
        <w:t xml:space="preserve"> </w:t>
      </w:r>
      <w:r>
        <w:rPr>
          <w:spacing w:val="-13"/>
        </w:rPr>
        <w:t>模式，结合中国政治结构特点评述中国政策议程。</w:t>
      </w:r>
    </w:p>
    <w:p>
      <w:pPr>
        <w:pStyle w:val="BodyText"/>
        <w:ind w:firstLine="456"/>
        <w:spacing w:before="35" w:line="354" w:lineRule="auto"/>
        <w:jc w:val="both"/>
        <w:rPr/>
      </w:pPr>
      <w:r>
        <w:rPr>
          <w:rFonts w:ascii="Times New Roman" w:hAnsi="Times New Roman" w:eastAsia="Times New Roman" w:cs="Times New Roman"/>
          <w:spacing w:val="-10"/>
        </w:rPr>
        <w:t>5.</w:t>
      </w:r>
      <w:r>
        <w:rPr>
          <w:spacing w:val="-10"/>
        </w:rPr>
        <w:t>掌握政策制定的基本程序，掌握政策合法化在政策</w:t>
      </w:r>
      <w:r>
        <w:rPr>
          <w:spacing w:val="-11"/>
        </w:rPr>
        <w:t>过程中的作用，掌握政策规划</w:t>
      </w:r>
      <w:r>
        <w:rPr/>
        <w:t xml:space="preserve"> </w:t>
      </w:r>
      <w:r>
        <w:rPr>
          <w:spacing w:val="-13"/>
        </w:rPr>
        <w:t>的含</w:t>
      </w:r>
      <w:r>
        <w:rPr>
          <w:spacing w:val="-12"/>
        </w:rPr>
        <w:t>义和基本内容，掌握政策行动者联盟的主要类型，掌握政策学习</w:t>
      </w:r>
      <w:r>
        <w:rPr>
          <w:spacing w:val="-13"/>
        </w:rPr>
        <w:t>含义和分类，掌</w:t>
      </w:r>
      <w:r>
        <w:rPr>
          <w:spacing w:val="-11"/>
        </w:rPr>
        <w:t>握</w:t>
      </w:r>
      <w:r>
        <w:rPr/>
        <w:t xml:space="preserve"> </w:t>
      </w:r>
      <w:r>
        <w:rPr>
          <w:spacing w:val="-13"/>
        </w:rPr>
        <w:t>政策</w:t>
      </w:r>
      <w:r>
        <w:rPr>
          <w:spacing w:val="-12"/>
        </w:rPr>
        <w:t>决策体制的类型，掌握集体决策的规则，结合民主集中制、群众</w:t>
      </w:r>
      <w:r>
        <w:rPr>
          <w:spacing w:val="-13"/>
        </w:rPr>
        <w:t>路线评述中国决</w:t>
      </w:r>
      <w:r>
        <w:rPr>
          <w:spacing w:val="-11"/>
        </w:rPr>
        <w:t>策</w:t>
      </w:r>
      <w:r>
        <w:rPr/>
        <w:t xml:space="preserve"> </w:t>
      </w:r>
      <w:r>
        <w:rPr>
          <w:spacing w:val="-12"/>
        </w:rPr>
        <w:t>特点，掌握博弈维度、理性维度决策理论及代表性观点，评述精英主</w:t>
      </w:r>
      <w:r>
        <w:rPr>
          <w:spacing w:val="-13"/>
        </w:rPr>
        <w:t>义、多元主义、国</w:t>
      </w:r>
      <w:r>
        <w:rPr/>
        <w:t xml:space="preserve"> </w:t>
      </w:r>
      <w:r>
        <w:rPr>
          <w:spacing w:val="-12"/>
        </w:rPr>
        <w:t>家主义、倡导联盟理论内容和特点。</w:t>
      </w:r>
    </w:p>
    <w:p>
      <w:pPr>
        <w:spacing w:line="354" w:lineRule="auto"/>
        <w:sectPr>
          <w:footerReference w:type="default" r:id="rId1"/>
          <w:pgSz w:w="11912" w:h="16841"/>
          <w:pgMar w:top="1431" w:right="1564" w:bottom="895" w:left="1688" w:header="0" w:footer="718" w:gutter="0"/>
        </w:sectPr>
        <w:rPr/>
      </w:pPr>
    </w:p>
    <w:p>
      <w:pPr>
        <w:pStyle w:val="BodyText"/>
        <w:ind w:firstLine="454"/>
        <w:spacing w:before="86" w:line="352" w:lineRule="auto"/>
        <w:rPr/>
      </w:pPr>
      <w:r>
        <w:rPr>
          <w:rFonts w:ascii="Times New Roman" w:hAnsi="Times New Roman" w:eastAsia="Times New Roman" w:cs="Times New Roman"/>
          <w:spacing w:val="-10"/>
        </w:rPr>
        <w:t>6.</w:t>
      </w:r>
      <w:r>
        <w:rPr>
          <w:spacing w:val="-10"/>
        </w:rPr>
        <w:t>掌握政策执行特点与过程，掌握影响政策执行的因素，评述政</w:t>
      </w:r>
      <w:r>
        <w:rPr>
          <w:spacing w:val="-11"/>
        </w:rPr>
        <w:t>策执行研究阶段、</w:t>
      </w:r>
      <w:r>
        <w:rPr/>
        <w:t xml:space="preserve"> </w:t>
      </w:r>
      <w:r>
        <w:rPr>
          <w:spacing w:val="-12"/>
        </w:rPr>
        <w:t>贡献及局限性，评述过程模型、基层官僚模型、模糊</w:t>
      </w:r>
      <w:r>
        <w:rPr>
          <w:rFonts w:ascii="Times New Roman" w:hAnsi="Times New Roman" w:eastAsia="Times New Roman" w:cs="Times New Roman"/>
          <w:spacing w:val="-12"/>
        </w:rPr>
        <w:t>—</w:t>
      </w:r>
      <w:r>
        <w:rPr>
          <w:spacing w:val="-12"/>
        </w:rPr>
        <w:t>冲突模式内容</w:t>
      </w:r>
      <w:r>
        <w:rPr>
          <w:spacing w:val="-13"/>
        </w:rPr>
        <w:t>，从激励和政策学</w:t>
      </w:r>
      <w:r>
        <w:rPr/>
        <w:t xml:space="preserve"> </w:t>
      </w:r>
      <w:r>
        <w:rPr>
          <w:spacing w:val="-12"/>
        </w:rPr>
        <w:t>习视角简述政策执行的不同类型，掌握公共有效执行的前提条件，结</w:t>
      </w:r>
      <w:r>
        <w:rPr>
          <w:spacing w:val="-13"/>
        </w:rPr>
        <w:t>合中国政策实践论</w:t>
      </w:r>
      <w:r>
        <w:rPr/>
        <w:t xml:space="preserve"> </w:t>
      </w:r>
      <w:r>
        <w:rPr>
          <w:spacing w:val="-12"/>
        </w:rPr>
        <w:t>述如何提高政策执行力。</w:t>
      </w:r>
    </w:p>
    <w:p>
      <w:pPr>
        <w:pStyle w:val="BodyText"/>
        <w:ind w:firstLine="453"/>
        <w:spacing w:before="34" w:line="354" w:lineRule="auto"/>
        <w:jc w:val="both"/>
        <w:rPr/>
      </w:pPr>
      <w:r>
        <w:rPr>
          <w:rFonts w:ascii="Times New Roman" w:hAnsi="Times New Roman" w:eastAsia="Times New Roman" w:cs="Times New Roman"/>
          <w:spacing w:val="-10"/>
        </w:rPr>
        <w:t>7.</w:t>
      </w:r>
      <w:r>
        <w:rPr>
          <w:spacing w:val="-10"/>
        </w:rPr>
        <w:t>掌握政策评估的分类标准、类型和功能，评述政策评估的</w:t>
      </w:r>
      <w:r>
        <w:rPr>
          <w:spacing w:val="-11"/>
        </w:rPr>
        <w:t>三个维度，掌握政策评</w:t>
      </w:r>
      <w:r>
        <w:rPr/>
        <w:t xml:space="preserve"> </w:t>
      </w:r>
      <w:r>
        <w:rPr>
          <w:spacing w:val="-13"/>
        </w:rPr>
        <w:t>估理</w:t>
      </w:r>
      <w:r>
        <w:rPr>
          <w:spacing w:val="-12"/>
        </w:rPr>
        <w:t>论的发展演进过程，掌握政策评估的主要模式，评述参与式评估</w:t>
      </w:r>
      <w:r>
        <w:rPr>
          <w:spacing w:val="-13"/>
        </w:rPr>
        <w:t>的内容和特点，</w:t>
      </w:r>
      <w:r>
        <w:rPr>
          <w:spacing w:val="-11"/>
        </w:rPr>
        <w:t>评</w:t>
      </w:r>
      <w:r>
        <w:rPr/>
        <w:t xml:space="preserve"> </w:t>
      </w:r>
      <w:r>
        <w:rPr>
          <w:spacing w:val="-6"/>
        </w:rPr>
        <w:t>述实证主义政策评估的特点，评述后实证主义政策评估模式，掌握政策评估的主</w:t>
      </w:r>
      <w:r>
        <w:rPr>
          <w:spacing w:val="-7"/>
        </w:rPr>
        <w:t>要方</w:t>
      </w:r>
      <w:r>
        <w:rPr/>
        <w:t xml:space="preserve"> </w:t>
      </w:r>
      <w:r>
        <w:rPr>
          <w:spacing w:val="-15"/>
        </w:rPr>
        <w:t>法。</w:t>
      </w:r>
    </w:p>
    <w:p>
      <w:pPr>
        <w:pStyle w:val="BodyText"/>
        <w:ind w:firstLine="459"/>
        <w:spacing w:before="27" w:line="353" w:lineRule="auto"/>
        <w:jc w:val="both"/>
        <w:rPr/>
      </w:pPr>
      <w:r>
        <w:rPr>
          <w:rFonts w:ascii="Times New Roman" w:hAnsi="Times New Roman" w:eastAsia="Times New Roman" w:cs="Times New Roman"/>
          <w:spacing w:val="-10"/>
        </w:rPr>
        <w:t>8.</w:t>
      </w:r>
      <w:r>
        <w:rPr>
          <w:spacing w:val="-10"/>
        </w:rPr>
        <w:t>区分政策创新和政策发明，掌握政策创新的含</w:t>
      </w:r>
      <w:r>
        <w:rPr>
          <w:spacing w:val="-11"/>
        </w:rPr>
        <w:t>义和类型，评述政策创新动因基本</w:t>
      </w:r>
      <w:r>
        <w:rPr/>
        <w:t xml:space="preserve"> </w:t>
      </w:r>
      <w:r>
        <w:rPr>
          <w:spacing w:val="-12"/>
        </w:rPr>
        <w:t>理论，掌握影响地方政府政策学习能力建设的因素，评述政策学习的</w:t>
      </w:r>
      <w:r>
        <w:rPr>
          <w:spacing w:val="-13"/>
        </w:rPr>
        <w:t>主要分析框架，掌</w:t>
      </w:r>
      <w:r>
        <w:rPr/>
        <w:t xml:space="preserve"> </w:t>
      </w:r>
      <w:r>
        <w:rPr>
          <w:spacing w:val="-12"/>
        </w:rPr>
        <w:t>握政策试验的组织形式与作用，掌握政策扩散动因和基本规律，比较</w:t>
      </w:r>
      <w:r>
        <w:rPr>
          <w:spacing w:val="-13"/>
        </w:rPr>
        <w:t>中国和美国政策扩</w:t>
      </w:r>
      <w:r>
        <w:rPr/>
        <w:t xml:space="preserve"> </w:t>
      </w:r>
      <w:r>
        <w:rPr>
          <w:spacing w:val="-9"/>
        </w:rPr>
        <w:t>散路径。</w:t>
      </w:r>
    </w:p>
    <w:p>
      <w:pPr>
        <w:pStyle w:val="BodyText"/>
        <w:ind w:firstLine="453"/>
        <w:spacing w:before="32" w:line="353" w:lineRule="auto"/>
        <w:jc w:val="both"/>
        <w:rPr/>
      </w:pPr>
      <w:r>
        <w:rPr>
          <w:rFonts w:ascii="Times New Roman" w:hAnsi="Times New Roman" w:eastAsia="Times New Roman" w:cs="Times New Roman"/>
          <w:spacing w:val="-10"/>
        </w:rPr>
        <w:t>9.</w:t>
      </w:r>
      <w:r>
        <w:rPr>
          <w:spacing w:val="-10"/>
        </w:rPr>
        <w:t>评述政策变迁的代表性研究路径，掌握政策常规变迁和</w:t>
      </w:r>
      <w:r>
        <w:rPr>
          <w:spacing w:val="-11"/>
        </w:rPr>
        <w:t>范式变迁的内容，掌握循</w:t>
      </w:r>
      <w:r>
        <w:rPr/>
        <w:t xml:space="preserve"> </w:t>
      </w:r>
      <w:r>
        <w:rPr>
          <w:spacing w:val="-13"/>
        </w:rPr>
        <w:t>环式</w:t>
      </w:r>
      <w:r>
        <w:rPr>
          <w:spacing w:val="-12"/>
        </w:rPr>
        <w:t>政策变迁理论的基本内容，掌握锯齿式政策变迁理论的基本内容</w:t>
      </w:r>
      <w:r>
        <w:rPr>
          <w:spacing w:val="-13"/>
        </w:rPr>
        <w:t>，掌握倡导联盟</w:t>
      </w:r>
      <w:r>
        <w:rPr>
          <w:spacing w:val="-11"/>
        </w:rPr>
        <w:t>框</w:t>
      </w:r>
      <w:r>
        <w:rPr/>
        <w:t xml:space="preserve"> </w:t>
      </w:r>
      <w:r>
        <w:rPr>
          <w:spacing w:val="-12"/>
        </w:rPr>
        <w:t>架的基本内容，掌握间断均衡理论的基本内容，掌握政策扩散的动因</w:t>
      </w:r>
      <w:r>
        <w:rPr>
          <w:spacing w:val="-13"/>
        </w:rPr>
        <w:t>，掌握政策终结的</w:t>
      </w:r>
      <w:r>
        <w:rPr/>
        <w:t xml:space="preserve"> </w:t>
      </w:r>
      <w:r>
        <w:rPr>
          <w:spacing w:val="-10"/>
        </w:rPr>
        <w:t>类型和策略。</w:t>
      </w:r>
    </w:p>
    <w:p>
      <w:pPr>
        <w:pStyle w:val="BodyText"/>
        <w:ind w:left="2" w:firstLine="470"/>
        <w:spacing w:before="30" w:line="353" w:lineRule="auto"/>
        <w:jc w:val="both"/>
        <w:rPr/>
      </w:pPr>
      <w:r>
        <w:rPr>
          <w:rFonts w:ascii="Times New Roman" w:hAnsi="Times New Roman" w:eastAsia="Times New Roman" w:cs="Times New Roman"/>
          <w:spacing w:val="-7"/>
        </w:rPr>
        <w:t>10.</w:t>
      </w:r>
      <w:r>
        <w:rPr>
          <w:spacing w:val="-7"/>
        </w:rPr>
        <w:t>区分前瞻性分析和回溯性分析，区分</w:t>
      </w:r>
      <w:r>
        <w:rPr>
          <w:spacing w:val="-8"/>
        </w:rPr>
        <w:t>描述性和规范性分析，区分演绎性和归纳</w:t>
      </w:r>
      <w:r>
        <w:rPr/>
        <w:t xml:space="preserve"> </w:t>
      </w:r>
      <w:r>
        <w:rPr>
          <w:spacing w:val="-12"/>
        </w:rPr>
        <w:t>性分析，掌握政策分析的主要阶段和任务，掌握政策论证的组成</w:t>
      </w:r>
      <w:r>
        <w:rPr>
          <w:spacing w:val="-13"/>
        </w:rPr>
        <w:t>要素，掌握政策分析师</w:t>
      </w:r>
      <w:r>
        <w:rPr/>
        <w:t xml:space="preserve"> </w:t>
      </w:r>
      <w:r>
        <w:rPr>
          <w:spacing w:val="-6"/>
        </w:rPr>
        <w:t>的角色定位和职业伦理，评述政策分析中的“价值中立”，掌握政策分析师</w:t>
      </w:r>
      <w:r>
        <w:rPr>
          <w:spacing w:val="-7"/>
        </w:rPr>
        <w:t>的素养要</w:t>
      </w:r>
      <w:r>
        <w:rPr/>
        <w:t xml:space="preserve"> </w:t>
      </w:r>
      <w:r>
        <w:rPr>
          <w:spacing w:val="-13"/>
        </w:rPr>
        <w:t>求，给合政府与市场理论评述政策分析如何在政府与市场之间进行权衡。</w:t>
      </w:r>
    </w:p>
    <w:p>
      <w:pPr>
        <w:ind w:left="495"/>
        <w:spacing w:before="34" w:line="218" w:lineRule="auto"/>
        <w:rPr>
          <w:rFonts w:ascii="SimHei" w:hAnsi="SimHei" w:eastAsia="SimHei" w:cs="SimHei"/>
          <w:sz w:val="24"/>
          <w:szCs w:val="24"/>
        </w:rPr>
      </w:pPr>
      <w:r>
        <w:rPr>
          <w:rFonts w:ascii="SimHei" w:hAnsi="SimHei" w:eastAsia="SimHei" w:cs="SimHei"/>
          <w:sz w:val="24"/>
          <w:szCs w:val="24"/>
          <w:spacing w:val="-3"/>
        </w:rPr>
        <w:t>四、考试题型及比例</w:t>
      </w:r>
    </w:p>
    <w:p>
      <w:pPr>
        <w:pStyle w:val="BodyText"/>
        <w:ind w:left="476" w:right="6061" w:firstLine="23"/>
        <w:spacing w:before="306" w:line="344" w:lineRule="auto"/>
        <w:rPr/>
      </w:pPr>
      <w:r>
        <w:rPr>
          <w:rFonts w:ascii="Times New Roman" w:hAnsi="Times New Roman" w:eastAsia="Times New Roman" w:cs="Times New Roman"/>
          <w:spacing w:val="-5"/>
        </w:rPr>
        <w:t>1.</w:t>
      </w:r>
      <w:r>
        <w:rPr>
          <w:spacing w:val="-5"/>
        </w:rPr>
        <w:t>名词解释（</w:t>
      </w:r>
      <w:r>
        <w:rPr>
          <w:rFonts w:ascii="Times New Roman" w:hAnsi="Times New Roman" w:eastAsia="Times New Roman" w:cs="Times New Roman"/>
          <w:spacing w:val="-5"/>
        </w:rPr>
        <w:t>40</w:t>
      </w:r>
      <w:r>
        <w:rPr>
          <w:spacing w:val="-5"/>
        </w:rPr>
        <w:t>分</w:t>
      </w:r>
      <w:r>
        <w:rPr>
          <w:spacing w:val="-69"/>
        </w:rPr>
        <w:t xml:space="preserve"> </w:t>
      </w:r>
      <w:r>
        <w:rPr>
          <w:spacing w:val="-5"/>
        </w:rPr>
        <w:t>）</w:t>
      </w:r>
      <w:r>
        <w:rPr/>
        <w:t xml:space="preserve"> </w:t>
      </w:r>
      <w:r>
        <w:rPr>
          <w:rFonts w:ascii="Times New Roman" w:hAnsi="Times New Roman" w:eastAsia="Times New Roman" w:cs="Times New Roman"/>
          <w:spacing w:val="-2"/>
        </w:rPr>
        <w:t>2.</w:t>
      </w:r>
      <w:r>
        <w:rPr>
          <w:spacing w:val="-2"/>
        </w:rPr>
        <w:t>简述题（</w:t>
      </w:r>
      <w:r>
        <w:rPr>
          <w:rFonts w:ascii="Times New Roman" w:hAnsi="Times New Roman" w:eastAsia="Times New Roman" w:cs="Times New Roman"/>
          <w:spacing w:val="-2"/>
        </w:rPr>
        <w:t>60</w:t>
      </w:r>
      <w:r>
        <w:rPr>
          <w:spacing w:val="-2"/>
        </w:rPr>
        <w:t>分）</w:t>
      </w:r>
    </w:p>
    <w:p>
      <w:pPr>
        <w:pStyle w:val="BodyText"/>
        <w:ind w:left="481"/>
        <w:spacing w:before="38" w:line="220" w:lineRule="auto"/>
        <w:rPr/>
      </w:pPr>
      <w:r>
        <w:rPr>
          <w:rFonts w:ascii="Times New Roman" w:hAnsi="Times New Roman" w:eastAsia="Times New Roman" w:cs="Times New Roman"/>
          <w:spacing w:val="-2"/>
        </w:rPr>
        <w:t>3.</w:t>
      </w:r>
      <w:r>
        <w:rPr>
          <w:spacing w:val="-2"/>
        </w:rPr>
        <w:t>分析论述题（</w:t>
      </w:r>
      <w:r>
        <w:rPr>
          <w:rFonts w:ascii="Times New Roman" w:hAnsi="Times New Roman" w:eastAsia="Times New Roman" w:cs="Times New Roman"/>
          <w:spacing w:val="-2"/>
        </w:rPr>
        <w:t>50</w:t>
      </w:r>
      <w:r>
        <w:rPr>
          <w:spacing w:val="-2"/>
        </w:rPr>
        <w:t>分）</w:t>
      </w:r>
    </w:p>
    <w:p>
      <w:pPr>
        <w:ind w:left="487"/>
        <w:spacing w:before="179" w:line="220" w:lineRule="auto"/>
        <w:rPr>
          <w:rFonts w:ascii="SimHei" w:hAnsi="SimHei" w:eastAsia="SimHei" w:cs="SimHei"/>
          <w:sz w:val="24"/>
          <w:szCs w:val="24"/>
        </w:rPr>
      </w:pPr>
      <w:r>
        <w:rPr>
          <w:rFonts w:ascii="SimHei" w:hAnsi="SimHei" w:eastAsia="SimHei" w:cs="SimHei"/>
          <w:sz w:val="24"/>
          <w:szCs w:val="24"/>
          <w:spacing w:val="-3"/>
        </w:rPr>
        <w:t>五、参考书目</w:t>
      </w:r>
    </w:p>
    <w:p>
      <w:pPr>
        <w:pStyle w:val="BodyText"/>
        <w:ind w:left="482"/>
        <w:spacing w:before="302" w:line="220" w:lineRule="auto"/>
        <w:rPr/>
      </w:pPr>
      <w:r>
        <w:rPr>
          <w:spacing w:val="-1"/>
        </w:rPr>
        <w:t>杨宏山编著：《公共政策学》，中国人民大学出版社，</w:t>
      </w:r>
      <w:r>
        <w:rPr>
          <w:rFonts w:ascii="Times New Roman" w:hAnsi="Times New Roman" w:eastAsia="Times New Roman" w:cs="Times New Roman"/>
          <w:spacing w:val="-1"/>
        </w:rPr>
        <w:t>2020</w:t>
      </w:r>
      <w:r>
        <w:rPr>
          <w:spacing w:val="-1"/>
        </w:rPr>
        <w:t>年</w:t>
      </w:r>
      <w:r>
        <w:rPr>
          <w:rFonts w:ascii="Times New Roman" w:hAnsi="Times New Roman" w:eastAsia="Times New Roman" w:cs="Times New Roman"/>
          <w:spacing w:val="-1"/>
        </w:rPr>
        <w:t>4</w:t>
      </w:r>
      <w:r>
        <w:rPr>
          <w:spacing w:val="-1"/>
        </w:rPr>
        <w:t>月</w:t>
      </w:r>
      <w:r>
        <w:rPr>
          <w:spacing w:val="-2"/>
        </w:rPr>
        <w:t>出版。</w:t>
      </w:r>
    </w:p>
    <w:sectPr>
      <w:footerReference w:type="default" r:id="rId2"/>
      <w:pgSz w:w="11912" w:h="16841"/>
      <w:pgMar w:top="1431" w:right="1563" w:bottom="894" w:left="1688" w:header="0" w:footer="71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92"/>
      <w:spacing w:line="171" w:lineRule="auto"/>
      <w:rPr>
        <w:sz w:val="18"/>
        <w:szCs w:val="18"/>
      </w:rPr>
    </w:pPr>
    <w:r>
      <w:rPr>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0"/>
      <w:spacing w:line="170" w:lineRule="auto"/>
      <w:rPr>
        <w:sz w:val="18"/>
        <w:szCs w:val="18"/>
      </w:rPr>
    </w:pPr>
    <w:r>
      <w:rPr>
        <w:sz w:val="18"/>
        <w:szCs w:val="18"/>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陈相霓</dc:creator>
  <dcterms:created xsi:type="dcterms:W3CDTF">2024-09-29T11:49:16Z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2024-10-11T22:23:12</vt:filetime>
  </property>
</Properties>
</file>