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F39394">
      <w:bookmarkStart w:id="2" w:name="_GoBack"/>
      <w:bookmarkEnd w:id="2"/>
      <w:r>
        <w:rPr>
          <w:rFonts w:hint="eastAsia"/>
        </w:rPr>
        <w:t xml:space="preserve">                               </w:t>
      </w:r>
    </w:p>
    <w:p w14:paraId="1E229FD8"/>
    <w:p w14:paraId="03D96DDD"/>
    <w:p w14:paraId="1339A702"/>
    <w:p w14:paraId="44420FE2"/>
    <w:p w14:paraId="7C51C5EA"/>
    <w:p w14:paraId="3784FC23"/>
    <w:p w14:paraId="6A7FCF22"/>
    <w:p w14:paraId="097B1BE5"/>
    <w:p w14:paraId="33F17013"/>
    <w:p w14:paraId="39F01FE9">
      <w:pPr>
        <w:widowControl/>
        <w:jc w:val="center"/>
        <w:rPr>
          <w:rFonts w:ascii="宋体" w:hAnsi="宋体"/>
          <w:sz w:val="24"/>
        </w:rPr>
      </w:pPr>
      <w:r>
        <w:rPr>
          <w:lang/>
        </w:rPr>
        <w:drawing>
          <wp:inline distT="0" distB="0" distL="114300" distR="114300">
            <wp:extent cx="2656205" cy="485140"/>
            <wp:effectExtent l="0" t="0" r="10795" b="10160"/>
            <wp:docPr id="1" name="图片 1" descr="X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B"/>
                    <pic:cNvPicPr>
                      <a:picLocks noChangeAspect="1"/>
                    </pic:cNvPicPr>
                  </pic:nvPicPr>
                  <pic:blipFill>
                    <a:blip r:embed="rId5"/>
                    <a:stretch>
                      <a:fillRect/>
                    </a:stretch>
                  </pic:blipFill>
                  <pic:spPr>
                    <a:xfrm>
                      <a:off x="0" y="0"/>
                      <a:ext cx="2656205" cy="485140"/>
                    </a:xfrm>
                    <a:prstGeom prst="rect">
                      <a:avLst/>
                    </a:prstGeom>
                    <a:noFill/>
                    <a:ln>
                      <a:noFill/>
                    </a:ln>
                  </pic:spPr>
                </pic:pic>
              </a:graphicData>
            </a:graphic>
          </wp:inline>
        </w:drawing>
      </w:r>
    </w:p>
    <w:p w14:paraId="307F8675">
      <w:pPr>
        <w:widowControl/>
        <w:jc w:val="center"/>
        <w:rPr>
          <w:rFonts w:ascii="华文中宋" w:hAnsi="华文中宋" w:eastAsia="华文中宋"/>
          <w:b/>
          <w:sz w:val="44"/>
          <w:szCs w:val="44"/>
        </w:rPr>
      </w:pPr>
      <w:r>
        <w:rPr>
          <w:rFonts w:hint="eastAsia" w:ascii="华文中宋" w:hAnsi="华文中宋" w:eastAsia="华文中宋"/>
          <w:b/>
          <w:sz w:val="44"/>
          <w:szCs w:val="44"/>
        </w:rPr>
        <w:t>硕士研究生入学统一考试</w:t>
      </w:r>
    </w:p>
    <w:p w14:paraId="38E3FA05">
      <w:pPr>
        <w:widowControl/>
        <w:jc w:val="center"/>
        <w:rPr>
          <w:rFonts w:hint="eastAsia" w:ascii="黑体" w:hAnsi="华文中宋" w:eastAsia="黑体"/>
          <w:b/>
          <w:sz w:val="52"/>
          <w:szCs w:val="52"/>
        </w:rPr>
      </w:pPr>
      <w:r>
        <w:rPr>
          <w:rFonts w:hint="eastAsia" w:ascii="黑体" w:hAnsi="华文中宋" w:eastAsia="黑体"/>
          <w:b/>
          <w:sz w:val="52"/>
          <w:szCs w:val="52"/>
        </w:rPr>
        <w:t>《中国伦理思想史》科目大纲</w:t>
      </w:r>
    </w:p>
    <w:p w14:paraId="6D5D7F79">
      <w:pPr>
        <w:widowControl/>
        <w:jc w:val="center"/>
        <w:rPr>
          <w:rFonts w:hint="eastAsia" w:ascii="黑体" w:hAnsi="华文中宋" w:eastAsia="黑体"/>
          <w:b/>
          <w:sz w:val="52"/>
          <w:szCs w:val="52"/>
        </w:rPr>
      </w:pPr>
      <w:r>
        <w:rPr>
          <w:rFonts w:hint="eastAsia" w:ascii="黑体" w:hAnsi="宋体" w:eastAsia="黑体"/>
          <w:sz w:val="30"/>
          <w:szCs w:val="30"/>
        </w:rPr>
        <w:t>(科目代码：</w:t>
      </w:r>
      <w:r>
        <w:rPr>
          <w:rFonts w:hint="eastAsia" w:ascii="黑体" w:hAnsi="宋体" w:eastAsia="黑体"/>
          <w:sz w:val="30"/>
          <w:szCs w:val="30"/>
          <w:lang w:val="en-US" w:eastAsia="zh-CN"/>
        </w:rPr>
        <w:t>7</w:t>
      </w:r>
      <w:r>
        <w:rPr>
          <w:rFonts w:hint="eastAsia" w:ascii="黑体" w:hAnsi="宋体" w:eastAsia="黑体"/>
          <w:sz w:val="30"/>
          <w:szCs w:val="30"/>
        </w:rPr>
        <w:t>11)</w:t>
      </w:r>
    </w:p>
    <w:p w14:paraId="6632035F">
      <w:pPr>
        <w:widowControl/>
        <w:jc w:val="center"/>
        <w:rPr>
          <w:rFonts w:ascii="黑体" w:hAnsi="宋体" w:eastAsia="黑体"/>
          <w:sz w:val="30"/>
          <w:szCs w:val="30"/>
        </w:rPr>
      </w:pPr>
      <w:r>
        <w:rPr>
          <w:rFonts w:hint="eastAsia" w:ascii="黑体" w:hAnsi="宋体" w:eastAsia="黑体"/>
          <w:b/>
          <w:sz w:val="48"/>
          <w:szCs w:val="48"/>
        </w:rPr>
        <w:t xml:space="preserve"> </w:t>
      </w:r>
      <w:r>
        <w:rPr>
          <w:rFonts w:hint="eastAsia" w:ascii="黑体" w:hAnsi="宋体" w:eastAsia="黑体"/>
          <w:sz w:val="30"/>
          <w:szCs w:val="30"/>
        </w:rPr>
        <w:t>(</w:t>
      </w:r>
      <w:r>
        <w:rPr>
          <w:rFonts w:hint="eastAsia" w:ascii="黑体" w:hAnsi="宋体" w:eastAsia="黑体"/>
          <w:sz w:val="30"/>
          <w:szCs w:val="30"/>
          <w:lang w:val="en-US" w:eastAsia="zh-CN"/>
        </w:rPr>
        <w:t>用于跨专业及同等学力考生加试</w:t>
      </w:r>
      <w:r>
        <w:rPr>
          <w:rFonts w:hint="eastAsia" w:ascii="黑体" w:hAnsi="宋体" w:eastAsia="黑体"/>
          <w:sz w:val="30"/>
          <w:szCs w:val="30"/>
        </w:rPr>
        <w:t>)</w:t>
      </w:r>
    </w:p>
    <w:p w14:paraId="33C787CD"/>
    <w:p w14:paraId="051B78B6"/>
    <w:p w14:paraId="696B6095"/>
    <w:p w14:paraId="5B2C6235"/>
    <w:p w14:paraId="1E784BFB"/>
    <w:p w14:paraId="4CC8D32E"/>
    <w:p w14:paraId="28435872"/>
    <w:p w14:paraId="5DCBD196"/>
    <w:p w14:paraId="566A6CB8">
      <w:pPr>
        <w:widowControl/>
        <w:spacing w:line="800" w:lineRule="exact"/>
        <w:ind w:firstLine="1619" w:firstLineChars="506"/>
        <w:jc w:val="left"/>
        <w:rPr>
          <w:rFonts w:ascii="仿宋_GB2312" w:hAnsi="宋体" w:eastAsia="仿宋_GB2312"/>
          <w:sz w:val="32"/>
          <w:szCs w:val="32"/>
        </w:rPr>
      </w:pPr>
      <w:r>
        <w:rPr>
          <w:rFonts w:hint="eastAsia" w:ascii="仿宋_GB2312" w:hAnsi="宋体" w:eastAsia="仿宋_GB2312"/>
          <w:sz w:val="32"/>
          <w:szCs w:val="32"/>
        </w:rPr>
        <w:t>学院名称(盖章)：</w:t>
      </w:r>
      <w:r>
        <w:rPr>
          <w:rFonts w:hint="eastAsia" w:ascii="仿宋_GB2312" w:hAnsi="宋体" w:eastAsia="仿宋_GB2312"/>
          <w:sz w:val="32"/>
          <w:szCs w:val="32"/>
          <w:u w:val="single"/>
        </w:rPr>
        <w:t xml:space="preserve">        哲学学院                  </w:t>
      </w:r>
    </w:p>
    <w:p w14:paraId="77CC1A66">
      <w:pPr>
        <w:widowControl/>
        <w:spacing w:line="800" w:lineRule="exact"/>
        <w:ind w:firstLine="1635" w:firstLineChars="568"/>
        <w:jc w:val="left"/>
        <w:rPr>
          <w:rFonts w:ascii="仿宋_GB2312" w:hAnsi="宋体" w:eastAsia="仿宋_GB2312"/>
          <w:w w:val="90"/>
          <w:sz w:val="32"/>
          <w:szCs w:val="32"/>
          <w:u w:val="single"/>
        </w:rPr>
      </w:pPr>
      <w:r>
        <w:rPr>
          <w:rFonts w:hint="eastAsia" w:ascii="仿宋_GB2312" w:hAnsi="宋体" w:eastAsia="仿宋_GB2312"/>
          <w:w w:val="90"/>
          <w:sz w:val="32"/>
          <w:szCs w:val="32"/>
        </w:rPr>
        <w:t>学院负责人(签字)：</w:t>
      </w:r>
      <w:r>
        <w:rPr>
          <w:rFonts w:hint="eastAsia" w:ascii="仿宋_GB2312" w:hAnsi="宋体" w:eastAsia="仿宋_GB2312"/>
          <w:w w:val="90"/>
          <w:sz w:val="32"/>
          <w:szCs w:val="32"/>
          <w:u w:val="single"/>
        </w:rPr>
        <w:t xml:space="preserve">          姜宗强                      </w:t>
      </w:r>
    </w:p>
    <w:p w14:paraId="4B6518DC">
      <w:pPr>
        <w:widowControl/>
        <w:spacing w:line="800" w:lineRule="exact"/>
        <w:ind w:firstLine="1619" w:firstLineChars="506"/>
        <w:jc w:val="left"/>
        <w:rPr>
          <w:rFonts w:ascii="仿宋_GB2312" w:hAnsi="宋体" w:eastAsia="仿宋_GB2312"/>
          <w:sz w:val="32"/>
          <w:szCs w:val="32"/>
          <w:u w:val="single"/>
        </w:rPr>
      </w:pPr>
      <w:r>
        <w:rPr>
          <w:rFonts w:hint="eastAsia" w:ascii="仿宋_GB2312" w:hAnsi="宋体" w:eastAsia="仿宋_GB2312"/>
          <w:sz w:val="32"/>
          <w:szCs w:val="32"/>
        </w:rPr>
        <w:t>编  制  时  间：</w:t>
      </w:r>
      <w:r>
        <w:rPr>
          <w:rFonts w:hint="eastAsia" w:ascii="仿宋_GB2312" w:hAnsi="宋体" w:eastAsia="仿宋_GB2312"/>
          <w:sz w:val="32"/>
          <w:szCs w:val="32"/>
          <w:u w:val="single"/>
        </w:rPr>
        <w:t xml:space="preserve">    202</w:t>
      </w:r>
      <w:r>
        <w:rPr>
          <w:rFonts w:ascii="仿宋_GB2312" w:hAnsi="宋体" w:eastAsia="仿宋_GB2312"/>
          <w:sz w:val="32"/>
          <w:szCs w:val="32"/>
          <w:u w:val="single"/>
        </w:rPr>
        <w:t>3</w:t>
      </w:r>
      <w:r>
        <w:rPr>
          <w:rFonts w:hint="eastAsia" w:ascii="仿宋_GB2312" w:hAnsi="宋体" w:eastAsia="仿宋_GB2312"/>
          <w:sz w:val="32"/>
          <w:szCs w:val="32"/>
          <w:u w:val="single"/>
        </w:rPr>
        <w:t>年 6月</w:t>
      </w:r>
      <w:r>
        <w:rPr>
          <w:rFonts w:hint="eastAsia" w:ascii="仿宋_GB2312" w:hAnsi="宋体" w:eastAsia="仿宋_GB2312"/>
          <w:sz w:val="32"/>
          <w:szCs w:val="32"/>
          <w:u w:val="single"/>
          <w:lang w:val="en-US" w:eastAsia="zh-CN"/>
        </w:rPr>
        <w:t>28</w:t>
      </w:r>
      <w:r>
        <w:rPr>
          <w:rFonts w:hint="eastAsia" w:ascii="仿宋_GB2312" w:hAnsi="宋体" w:eastAsia="仿宋_GB2312"/>
          <w:sz w:val="32"/>
          <w:szCs w:val="32"/>
          <w:u w:val="single"/>
        </w:rPr>
        <w:t xml:space="preserve"> 日     </w:t>
      </w:r>
    </w:p>
    <w:p w14:paraId="2A02F1A4">
      <w:pPr>
        <w:widowControl/>
        <w:spacing w:line="800" w:lineRule="exact"/>
        <w:ind w:firstLine="480" w:firstLineChars="200"/>
        <w:jc w:val="left"/>
        <w:rPr>
          <w:rFonts w:ascii="宋体" w:hAnsi="宋体"/>
          <w:sz w:val="24"/>
        </w:rPr>
      </w:pPr>
    </w:p>
    <w:p w14:paraId="46FA2516">
      <w:pPr>
        <w:widowControl/>
        <w:spacing w:line="800" w:lineRule="exact"/>
        <w:ind w:firstLine="480" w:firstLineChars="200"/>
        <w:jc w:val="left"/>
        <w:rPr>
          <w:rFonts w:ascii="宋体" w:hAnsi="宋体"/>
          <w:sz w:val="24"/>
        </w:rPr>
      </w:pPr>
    </w:p>
    <w:p w14:paraId="10B84C43">
      <w:pPr>
        <w:pStyle w:val="10"/>
        <w:rPr>
          <w:rFonts w:ascii="黑体" w:eastAsia="黑体"/>
          <w:b/>
          <w:bCs/>
          <w:sz w:val="30"/>
          <w:szCs w:val="30"/>
        </w:rPr>
      </w:pPr>
    </w:p>
    <w:p w14:paraId="30A854DE">
      <w:pPr>
        <w:pStyle w:val="10"/>
        <w:jc w:val="center"/>
        <w:rPr>
          <w:rFonts w:hint="eastAsia" w:ascii="黑体" w:eastAsia="黑体"/>
          <w:b/>
          <w:bCs/>
          <w:sz w:val="30"/>
          <w:szCs w:val="30"/>
        </w:rPr>
      </w:pPr>
    </w:p>
    <w:p w14:paraId="2E39C502">
      <w:pPr>
        <w:pStyle w:val="10"/>
        <w:jc w:val="center"/>
        <w:rPr>
          <w:rFonts w:ascii="黑体" w:eastAsia="黑体"/>
          <w:b/>
          <w:bCs/>
          <w:sz w:val="30"/>
          <w:szCs w:val="30"/>
        </w:rPr>
      </w:pPr>
      <w:r>
        <w:rPr>
          <w:rFonts w:hint="eastAsia" w:ascii="黑体" w:eastAsia="黑体"/>
          <w:b/>
          <w:bCs/>
          <w:sz w:val="30"/>
          <w:szCs w:val="30"/>
        </w:rPr>
        <w:t>《中国伦理思想史》科目大纲</w:t>
      </w:r>
    </w:p>
    <w:p w14:paraId="23776EDE">
      <w:pPr>
        <w:pStyle w:val="10"/>
        <w:jc w:val="center"/>
        <w:rPr>
          <w:rFonts w:ascii="黑体" w:eastAsia="黑体"/>
          <w:sz w:val="24"/>
          <w:szCs w:val="24"/>
        </w:rPr>
      </w:pPr>
      <w:r>
        <w:rPr>
          <w:rFonts w:hint="eastAsia" w:ascii="黑体" w:eastAsia="黑体"/>
          <w:b/>
          <w:bCs/>
          <w:sz w:val="48"/>
          <w:szCs w:val="48"/>
        </w:rPr>
        <w:t xml:space="preserve"> </w:t>
      </w:r>
      <w:r>
        <w:rPr>
          <w:rFonts w:hint="eastAsia" w:ascii="黑体" w:eastAsia="黑体"/>
          <w:sz w:val="24"/>
          <w:szCs w:val="24"/>
        </w:rPr>
        <w:t>(</w:t>
      </w:r>
      <w:r>
        <w:rPr>
          <w:rFonts w:hint="eastAsia" w:ascii="黑体" w:eastAsia="黑体"/>
          <w:color w:val="000000"/>
          <w:sz w:val="24"/>
          <w:szCs w:val="24"/>
        </w:rPr>
        <w:t>科目代码：</w:t>
      </w:r>
      <w:r>
        <w:rPr>
          <w:rFonts w:hint="eastAsia" w:ascii="黑体" w:eastAsia="黑体"/>
          <w:color w:val="000000"/>
          <w:sz w:val="24"/>
          <w:szCs w:val="24"/>
          <w:lang w:val="en-US" w:eastAsia="zh-CN"/>
        </w:rPr>
        <w:t>711</w:t>
      </w:r>
      <w:r>
        <w:rPr>
          <w:rFonts w:hint="eastAsia" w:ascii="黑体" w:eastAsia="黑体"/>
          <w:sz w:val="24"/>
          <w:szCs w:val="24"/>
        </w:rPr>
        <w:t>)</w:t>
      </w:r>
    </w:p>
    <w:p w14:paraId="67D0980D">
      <w:pPr>
        <w:pStyle w:val="10"/>
        <w:spacing w:line="520" w:lineRule="atLeast"/>
        <w:jc w:val="center"/>
        <w:rPr>
          <w:rFonts w:ascii="楷体_GB2312" w:eastAsia="楷体_GB2312"/>
          <w:b/>
          <w:bCs/>
          <w:sz w:val="28"/>
          <w:szCs w:val="28"/>
        </w:rPr>
      </w:pPr>
      <w:r>
        <w:rPr>
          <w:rFonts w:hint="eastAsia" w:ascii="楷体_GB2312" w:eastAsia="楷体_GB2312"/>
          <w:b/>
          <w:bCs/>
          <w:sz w:val="28"/>
          <w:szCs w:val="28"/>
        </w:rPr>
        <w:t>一、考核要求</w:t>
      </w:r>
    </w:p>
    <w:p w14:paraId="4BEE6343">
      <w:pPr>
        <w:pStyle w:val="10"/>
        <w:spacing w:line="520" w:lineRule="atLeast"/>
        <w:ind w:firstLine="420"/>
        <w:jc w:val="left"/>
        <w:rPr>
          <w:rFonts w:ascii="楷体_GB2312" w:eastAsia="楷体_GB2312"/>
        </w:rPr>
      </w:pPr>
      <w:r>
        <w:rPr>
          <w:rFonts w:hint="eastAsia" w:ascii="楷体_GB2312" w:eastAsia="楷体_GB2312"/>
        </w:rPr>
        <w:t>《中国伦理思想史》是哲学专业学术型硕士学位研究生入学考试复试阶段加试的科目。考试力求反映同等学力报考或者跨专业报考哲学硕士的考生是否能够掌握中国伦理思想史上一些主要人物、流派的思想观点，能够将所学的中国哲学史与中国伦理思想史贯通起来，对于中国传统社会中通行的伦理理论和伦理实践有较为深入的体悟和较为深刻的评判。</w:t>
      </w:r>
    </w:p>
    <w:p w14:paraId="730FDD28">
      <w:pPr>
        <w:pStyle w:val="10"/>
        <w:spacing w:line="520" w:lineRule="atLeast"/>
        <w:jc w:val="center"/>
        <w:rPr>
          <w:rFonts w:ascii="楷体_GB2312" w:eastAsia="楷体_GB2312"/>
          <w:b/>
          <w:bCs/>
          <w:sz w:val="28"/>
          <w:szCs w:val="28"/>
        </w:rPr>
      </w:pPr>
      <w:r>
        <w:rPr>
          <w:rFonts w:hint="eastAsia" w:ascii="楷体_GB2312" w:eastAsia="楷体_GB2312"/>
          <w:b/>
          <w:bCs/>
          <w:sz w:val="28"/>
          <w:szCs w:val="28"/>
        </w:rPr>
        <w:t>二、考核评价目标</w:t>
      </w:r>
    </w:p>
    <w:p w14:paraId="241F587C">
      <w:pPr>
        <w:pStyle w:val="10"/>
        <w:spacing w:before="100" w:after="100" w:line="360" w:lineRule="auto"/>
        <w:ind w:firstLine="420"/>
        <w:jc w:val="left"/>
        <w:rPr>
          <w:rFonts w:ascii="楷体_GB2312" w:eastAsia="楷体_GB2312"/>
          <w:color w:val="222222"/>
        </w:rPr>
      </w:pPr>
      <w:r>
        <w:rPr>
          <w:rFonts w:hint="eastAsia" w:ascii="楷体_GB2312" w:eastAsia="楷体_GB2312"/>
          <w:color w:val="222222"/>
        </w:rPr>
        <w:t>要求考生对于中国伦理思想史上一些主要的理论流派和代表性人物，特别是孔子、孟子、荀子、老子、庄子、韩非子、董仲舒、王弼、郭象、二程、朱子、陆九渊、王阳明、王夫之、戴震等思想家的伦理思想有所掌握，能够系统了解和深入理解儒家经典和道家经典所蕴涵的伦理思想，初步具备运用这些伦理思想资源分析和解决现实伦理道德问题的能力。</w:t>
      </w:r>
    </w:p>
    <w:p w14:paraId="70510CD8">
      <w:pPr>
        <w:pStyle w:val="10"/>
        <w:spacing w:before="100" w:after="100" w:line="360" w:lineRule="auto"/>
        <w:ind w:firstLine="420"/>
        <w:jc w:val="left"/>
        <w:rPr>
          <w:rFonts w:hint="eastAsia" w:ascii="楷体_GB2312" w:eastAsia="楷体_GB2312"/>
          <w:color w:val="222222"/>
        </w:rPr>
      </w:pPr>
    </w:p>
    <w:p w14:paraId="685F0B55">
      <w:pPr>
        <w:pStyle w:val="10"/>
        <w:spacing w:line="360" w:lineRule="auto"/>
        <w:ind w:firstLine="562"/>
        <w:jc w:val="center"/>
        <w:rPr>
          <w:rFonts w:ascii="楷体_GB2312" w:eastAsia="楷体_GB2312"/>
          <w:bCs/>
          <w:sz w:val="28"/>
          <w:szCs w:val="28"/>
        </w:rPr>
      </w:pPr>
      <w:r>
        <w:rPr>
          <w:rFonts w:hint="eastAsia" w:ascii="楷体_GB2312" w:eastAsia="楷体_GB2312"/>
          <w:bCs/>
          <w:sz w:val="28"/>
          <w:szCs w:val="28"/>
        </w:rPr>
        <w:t>三、考核内容</w:t>
      </w:r>
    </w:p>
    <w:p w14:paraId="35494877">
      <w:pPr>
        <w:pStyle w:val="11"/>
        <w:spacing w:line="360" w:lineRule="auto"/>
        <w:ind w:firstLine="0" w:firstLineChars="0"/>
        <w:rPr>
          <w:rFonts w:hint="eastAsia" w:ascii="楷体_GB2312" w:eastAsia="楷体_GB2312"/>
          <w:b/>
          <w:bCs/>
        </w:rPr>
      </w:pPr>
      <w:r>
        <w:rPr>
          <w:rFonts w:hint="eastAsia" w:ascii="楷体_GB2312" w:eastAsia="楷体_GB2312"/>
          <w:b/>
          <w:bCs/>
        </w:rPr>
        <w:t>第一章  先秦诸子</w:t>
      </w:r>
      <w:r>
        <w:rPr>
          <w:rFonts w:hint="eastAsia" w:ascii="楷体_GB2312" w:eastAsia="楷体_GB2312"/>
          <w:b/>
        </w:rPr>
        <w:t>伦理思想</w:t>
      </w:r>
    </w:p>
    <w:p w14:paraId="7B7B7AC5">
      <w:pPr>
        <w:pStyle w:val="11"/>
        <w:spacing w:line="360" w:lineRule="auto"/>
        <w:ind w:firstLine="0" w:firstLineChars="0"/>
        <w:rPr>
          <w:rFonts w:hint="eastAsia" w:ascii="楷体_GB2312" w:eastAsia="楷体_GB2312"/>
        </w:rPr>
      </w:pPr>
      <w:r>
        <w:rPr>
          <w:rFonts w:hint="eastAsia" w:ascii="楷体_GB2312" w:eastAsia="楷体_GB2312"/>
        </w:rPr>
        <w:t>第一节  商周宗教的伦理意蕴</w:t>
      </w:r>
    </w:p>
    <w:p w14:paraId="5E8DBB21">
      <w:pPr>
        <w:pStyle w:val="11"/>
        <w:spacing w:line="360" w:lineRule="auto"/>
        <w:rPr>
          <w:rFonts w:hint="eastAsia" w:ascii="楷体_GB2312" w:eastAsia="楷体_GB2312"/>
        </w:rPr>
      </w:pPr>
      <w:r>
        <w:rPr>
          <w:rFonts w:hint="eastAsia" w:ascii="楷体_GB2312" w:eastAsia="楷体_GB2312"/>
        </w:rPr>
        <w:t>一、帝；二、天；三、礼</w:t>
      </w:r>
    </w:p>
    <w:p w14:paraId="21B4300B">
      <w:pPr>
        <w:pStyle w:val="11"/>
        <w:spacing w:line="360" w:lineRule="auto"/>
        <w:ind w:firstLine="0" w:firstLineChars="0"/>
        <w:rPr>
          <w:rFonts w:hint="eastAsia" w:ascii="楷体_GB2312" w:eastAsia="楷体_GB2312"/>
        </w:rPr>
      </w:pPr>
      <w:r>
        <w:rPr>
          <w:rFonts w:hint="eastAsia" w:ascii="楷体_GB2312" w:eastAsia="楷体_GB2312"/>
        </w:rPr>
        <w:t>第二节  孔子的伦理思想</w:t>
      </w:r>
    </w:p>
    <w:p w14:paraId="52741B24">
      <w:pPr>
        <w:pStyle w:val="11"/>
        <w:spacing w:line="360" w:lineRule="auto"/>
        <w:rPr>
          <w:rFonts w:ascii="楷体_GB2312" w:eastAsia="楷体_GB2312"/>
        </w:rPr>
      </w:pPr>
      <w:r>
        <w:rPr>
          <w:rFonts w:hint="eastAsia" w:ascii="楷体_GB2312" w:eastAsia="楷体_GB2312"/>
        </w:rPr>
        <w:t>一、仁学；二、中庸之道；三、人生境界论；四、教化论；五、天命观</w:t>
      </w:r>
    </w:p>
    <w:p w14:paraId="2D197B07">
      <w:pPr>
        <w:pStyle w:val="11"/>
        <w:spacing w:line="360" w:lineRule="auto"/>
        <w:ind w:firstLine="0" w:firstLineChars="0"/>
        <w:rPr>
          <w:rFonts w:ascii="楷体_GB2312" w:eastAsia="楷体_GB2312"/>
        </w:rPr>
      </w:pPr>
      <w:r>
        <w:rPr>
          <w:rFonts w:ascii="楷体_GB2312" w:eastAsia="楷体_GB2312"/>
        </w:rPr>
        <w:t>第三节</w:t>
      </w:r>
      <w:r>
        <w:rPr>
          <w:rFonts w:hint="eastAsia" w:ascii="楷体_GB2312" w:eastAsia="楷体_GB2312"/>
        </w:rPr>
        <w:t xml:space="preserve">  孟子的伦理思想</w:t>
      </w:r>
    </w:p>
    <w:p w14:paraId="09A58658">
      <w:pPr>
        <w:pStyle w:val="11"/>
        <w:spacing w:line="360" w:lineRule="auto"/>
        <w:ind w:firstLineChars="0"/>
        <w:rPr>
          <w:rFonts w:ascii="楷体_GB2312" w:eastAsia="楷体_GB2312"/>
        </w:rPr>
      </w:pPr>
      <w:r>
        <w:rPr>
          <w:rFonts w:hint="eastAsia" w:ascii="楷体_GB2312" w:eastAsia="楷体_GB2312"/>
        </w:rPr>
        <w:t>一、天命论；二、性善论；三、修养论；四、人格论；五、仁义论；六、仁政论</w:t>
      </w:r>
    </w:p>
    <w:p w14:paraId="52B234FF">
      <w:pPr>
        <w:pStyle w:val="11"/>
        <w:spacing w:line="360" w:lineRule="auto"/>
        <w:ind w:firstLine="0" w:firstLineChars="0"/>
        <w:rPr>
          <w:rFonts w:ascii="楷体_GB2312" w:eastAsia="楷体_GB2312"/>
        </w:rPr>
      </w:pPr>
      <w:r>
        <w:rPr>
          <w:rFonts w:ascii="楷体_GB2312" w:eastAsia="楷体_GB2312"/>
        </w:rPr>
        <w:t>第四节</w:t>
      </w:r>
      <w:r>
        <w:rPr>
          <w:rFonts w:hint="eastAsia" w:ascii="楷体_GB2312" w:eastAsia="楷体_GB2312"/>
        </w:rPr>
        <w:t xml:space="preserve">  荀子的伦理思想</w:t>
      </w:r>
    </w:p>
    <w:p w14:paraId="66157B43">
      <w:pPr>
        <w:pStyle w:val="11"/>
        <w:spacing w:line="360" w:lineRule="auto"/>
        <w:ind w:firstLineChars="0"/>
        <w:rPr>
          <w:rFonts w:ascii="楷体_GB2312" w:eastAsia="楷体_GB2312"/>
        </w:rPr>
      </w:pPr>
      <w:r>
        <w:rPr>
          <w:rFonts w:hint="eastAsia" w:ascii="楷体_GB2312" w:eastAsia="楷体_GB2312"/>
        </w:rPr>
        <w:t>一、天人观；二、性恶论；三、礼论</w:t>
      </w:r>
    </w:p>
    <w:p w14:paraId="58185620">
      <w:pPr>
        <w:pStyle w:val="11"/>
        <w:spacing w:line="360" w:lineRule="auto"/>
        <w:ind w:firstLine="0" w:firstLineChars="0"/>
        <w:rPr>
          <w:rFonts w:ascii="楷体_GB2312" w:eastAsia="楷体_GB2312"/>
        </w:rPr>
      </w:pPr>
      <w:r>
        <w:rPr>
          <w:rFonts w:ascii="楷体_GB2312" w:eastAsia="楷体_GB2312"/>
        </w:rPr>
        <w:t>第五节</w:t>
      </w:r>
      <w:r>
        <w:rPr>
          <w:rFonts w:hint="eastAsia" w:ascii="楷体_GB2312" w:eastAsia="楷体_GB2312"/>
        </w:rPr>
        <w:t xml:space="preserve">  老子的伦理思想</w:t>
      </w:r>
    </w:p>
    <w:p w14:paraId="4EEAFDD6">
      <w:pPr>
        <w:pStyle w:val="11"/>
        <w:spacing w:line="360" w:lineRule="auto"/>
        <w:ind w:firstLineChars="0"/>
        <w:rPr>
          <w:rFonts w:ascii="楷体_GB2312" w:eastAsia="楷体_GB2312"/>
        </w:rPr>
      </w:pPr>
      <w:r>
        <w:rPr>
          <w:rFonts w:hint="eastAsia" w:ascii="楷体_GB2312" w:eastAsia="楷体_GB2312"/>
        </w:rPr>
        <w:t>一、作为本根的“道”；二、作为个体道德的“无为”；三、作为治世思想的“无为”；四、作为人生理想的“朴”；五、作为处世策略的“柔弱”；六、作为理想社会模式的“小国寡民”</w:t>
      </w:r>
    </w:p>
    <w:p w14:paraId="5627C29A">
      <w:pPr>
        <w:pStyle w:val="11"/>
        <w:spacing w:line="360" w:lineRule="auto"/>
        <w:ind w:firstLine="0" w:firstLineChars="0"/>
        <w:rPr>
          <w:rFonts w:hint="eastAsia" w:ascii="楷体_GB2312" w:eastAsia="楷体_GB2312"/>
        </w:rPr>
      </w:pPr>
      <w:r>
        <w:rPr>
          <w:rFonts w:hint="eastAsia" w:ascii="楷体_GB2312" w:eastAsia="楷体_GB2312"/>
        </w:rPr>
        <w:t>第六节  庄子的伦理思想</w:t>
      </w:r>
    </w:p>
    <w:p w14:paraId="41948D4E">
      <w:pPr>
        <w:pStyle w:val="11"/>
        <w:spacing w:line="360" w:lineRule="auto"/>
        <w:ind w:firstLineChars="0"/>
        <w:rPr>
          <w:rFonts w:ascii="楷体_GB2312" w:eastAsia="楷体_GB2312"/>
        </w:rPr>
      </w:pPr>
      <w:r>
        <w:rPr>
          <w:rFonts w:hint="eastAsia" w:ascii="楷体_GB2312" w:eastAsia="楷体_GB2312"/>
        </w:rPr>
        <w:t>一、无以人灭天的天人观；二、保身全性的人性论；三、顺世从俗的处世方法；四、逍遥游的精神境界；五、无为而无不为的政治策略</w:t>
      </w:r>
    </w:p>
    <w:p w14:paraId="5E7E1BCE">
      <w:pPr>
        <w:pStyle w:val="11"/>
        <w:spacing w:line="360" w:lineRule="auto"/>
        <w:ind w:firstLine="0" w:firstLineChars="0"/>
        <w:rPr>
          <w:rFonts w:ascii="楷体_GB2312" w:eastAsia="楷体_GB2312"/>
        </w:rPr>
      </w:pPr>
      <w:r>
        <w:rPr>
          <w:rFonts w:ascii="楷体_GB2312" w:eastAsia="楷体_GB2312"/>
        </w:rPr>
        <w:t>第七节</w:t>
      </w:r>
      <w:r>
        <w:rPr>
          <w:rFonts w:hint="eastAsia" w:ascii="楷体_GB2312" w:eastAsia="楷体_GB2312"/>
        </w:rPr>
        <w:t xml:space="preserve">  韩非的伦理思想</w:t>
      </w:r>
    </w:p>
    <w:p w14:paraId="60DA2414">
      <w:pPr>
        <w:pStyle w:val="11"/>
        <w:spacing w:line="360" w:lineRule="auto"/>
        <w:rPr>
          <w:rFonts w:ascii="楷体_GB2312" w:eastAsia="楷体_GB2312"/>
        </w:rPr>
      </w:pPr>
      <w:r>
        <w:rPr>
          <w:rFonts w:hint="eastAsia" w:ascii="楷体_GB2312" w:eastAsia="楷体_GB2312"/>
        </w:rPr>
        <w:t>一、“人情好利”的人性论；。二、“法、术、势”相结合的法治理论；三、非理想主义的法治政治</w:t>
      </w:r>
    </w:p>
    <w:p w14:paraId="026EF742">
      <w:pPr>
        <w:pStyle w:val="11"/>
        <w:spacing w:line="360" w:lineRule="auto"/>
        <w:ind w:firstLine="0" w:firstLineChars="0"/>
        <w:rPr>
          <w:rFonts w:ascii="楷体_GB2312" w:eastAsia="楷体_GB2312"/>
          <w:b/>
        </w:rPr>
      </w:pPr>
      <w:r>
        <w:rPr>
          <w:rFonts w:hint="eastAsia" w:ascii="楷体_GB2312" w:eastAsia="楷体_GB2312"/>
          <w:b/>
          <w:bCs/>
        </w:rPr>
        <w:t>第二章  秦汉魏晋</w:t>
      </w:r>
      <w:r>
        <w:rPr>
          <w:rFonts w:hint="eastAsia" w:ascii="楷体_GB2312" w:eastAsia="楷体_GB2312"/>
          <w:b/>
        </w:rPr>
        <w:t>伦理思想</w:t>
      </w:r>
    </w:p>
    <w:p w14:paraId="3063B5FE">
      <w:pPr>
        <w:pStyle w:val="11"/>
        <w:spacing w:line="360" w:lineRule="auto"/>
        <w:ind w:firstLine="0" w:firstLineChars="0"/>
        <w:rPr>
          <w:rFonts w:hint="eastAsia" w:ascii="楷体_GB2312" w:eastAsia="楷体_GB2312"/>
        </w:rPr>
      </w:pPr>
      <w:r>
        <w:rPr>
          <w:rFonts w:hint="eastAsia" w:ascii="楷体_GB2312" w:eastAsia="楷体_GB2312"/>
        </w:rPr>
        <w:t>第一节  《大学》的伦理意蕴</w:t>
      </w:r>
    </w:p>
    <w:p w14:paraId="442E7109">
      <w:pPr>
        <w:pStyle w:val="11"/>
        <w:spacing w:line="360" w:lineRule="auto"/>
        <w:rPr>
          <w:rFonts w:hint="eastAsia" w:ascii="楷体_GB2312" w:eastAsia="楷体_GB2312"/>
        </w:rPr>
      </w:pPr>
      <w:r>
        <w:rPr>
          <w:rFonts w:hint="eastAsia" w:ascii="楷体_GB2312" w:eastAsia="楷体_GB2312"/>
        </w:rPr>
        <w:t>一、三纲领；二、八条目；三、朱熹和王阳明对《大学》的不同阐释</w:t>
      </w:r>
    </w:p>
    <w:p w14:paraId="3BBFAED5">
      <w:pPr>
        <w:pStyle w:val="11"/>
        <w:spacing w:line="360" w:lineRule="auto"/>
        <w:ind w:firstLine="0" w:firstLineChars="0"/>
        <w:rPr>
          <w:rFonts w:ascii="楷体_GB2312" w:eastAsia="楷体_GB2312"/>
        </w:rPr>
      </w:pPr>
      <w:r>
        <w:rPr>
          <w:rFonts w:hint="eastAsia" w:ascii="楷体_GB2312" w:eastAsia="楷体_GB2312"/>
        </w:rPr>
        <w:t>第二节  《中庸》的伦理意蕴</w:t>
      </w:r>
    </w:p>
    <w:p w14:paraId="16242A3E">
      <w:pPr>
        <w:pStyle w:val="11"/>
        <w:spacing w:line="360" w:lineRule="auto"/>
        <w:ind w:firstLineChars="0"/>
        <w:rPr>
          <w:rFonts w:ascii="楷体_GB2312" w:eastAsia="楷体_GB2312"/>
        </w:rPr>
      </w:pPr>
      <w:r>
        <w:rPr>
          <w:rFonts w:hint="eastAsia" w:ascii="楷体_GB2312" w:eastAsia="楷体_GB2312"/>
        </w:rPr>
        <w:t>一、《中庸》思想总纲：“天命之谓性，率性之谓道，修道之谓教”；二、《中庸》思想的展开——“中庸”与“诚”</w:t>
      </w:r>
    </w:p>
    <w:p w14:paraId="2E356169">
      <w:pPr>
        <w:pStyle w:val="11"/>
        <w:spacing w:line="360" w:lineRule="auto"/>
        <w:ind w:firstLine="0" w:firstLineChars="0"/>
        <w:rPr>
          <w:rFonts w:ascii="楷体_GB2312" w:eastAsia="楷体_GB2312"/>
        </w:rPr>
      </w:pPr>
      <w:r>
        <w:rPr>
          <w:rFonts w:ascii="楷体_GB2312" w:eastAsia="楷体_GB2312"/>
        </w:rPr>
        <w:t>第三节</w:t>
      </w:r>
      <w:r>
        <w:rPr>
          <w:rFonts w:hint="eastAsia" w:ascii="楷体_GB2312" w:eastAsia="楷体_GB2312"/>
        </w:rPr>
        <w:t xml:space="preserve">  董仲舒的伦理思想</w:t>
      </w:r>
    </w:p>
    <w:p w14:paraId="4C35FECA">
      <w:pPr>
        <w:pStyle w:val="11"/>
        <w:spacing w:line="360" w:lineRule="auto"/>
        <w:ind w:firstLineChars="0"/>
        <w:rPr>
          <w:rFonts w:ascii="楷体_GB2312" w:eastAsia="楷体_GB2312"/>
        </w:rPr>
      </w:pPr>
      <w:r>
        <w:rPr>
          <w:rFonts w:hint="eastAsia" w:ascii="楷体_GB2312" w:eastAsia="楷体_GB2312"/>
        </w:rPr>
        <w:t>一、天人感应与</w:t>
      </w:r>
      <w:r>
        <w:rPr>
          <w:rFonts w:hint="eastAsia" w:ascii="楷体_GB2312" w:eastAsia="楷体_GB2312"/>
          <w:bCs/>
        </w:rPr>
        <w:t>屈君伸天；</w:t>
      </w:r>
      <w:r>
        <w:rPr>
          <w:rFonts w:hint="eastAsia" w:ascii="楷体_GB2312" w:eastAsia="楷体_GB2312"/>
        </w:rPr>
        <w:t>二、性三品与王道教化；三、天道不变与长治久安</w:t>
      </w:r>
    </w:p>
    <w:p w14:paraId="354B419C">
      <w:pPr>
        <w:pStyle w:val="11"/>
        <w:spacing w:line="360" w:lineRule="auto"/>
        <w:ind w:firstLine="0" w:firstLineChars="0"/>
        <w:rPr>
          <w:rFonts w:ascii="楷体_GB2312" w:eastAsia="楷体_GB2312"/>
        </w:rPr>
      </w:pPr>
      <w:r>
        <w:rPr>
          <w:rFonts w:ascii="楷体_GB2312" w:eastAsia="楷体_GB2312"/>
        </w:rPr>
        <w:t>第四节</w:t>
      </w:r>
      <w:r>
        <w:rPr>
          <w:rFonts w:hint="eastAsia" w:ascii="楷体_GB2312" w:eastAsia="楷体_GB2312"/>
        </w:rPr>
        <w:t xml:space="preserve">  名教自然之辨的理论变迁</w:t>
      </w:r>
    </w:p>
    <w:p w14:paraId="3A850CD4">
      <w:pPr>
        <w:pStyle w:val="11"/>
        <w:spacing w:line="360" w:lineRule="auto"/>
        <w:ind w:firstLineChars="0"/>
        <w:rPr>
          <w:rFonts w:ascii="楷体_GB2312" w:eastAsia="楷体_GB2312"/>
        </w:rPr>
      </w:pPr>
      <w:r>
        <w:rPr>
          <w:rFonts w:hint="eastAsia" w:ascii="楷体_GB2312" w:eastAsia="楷体_GB2312"/>
        </w:rPr>
        <w:t>一、王弼：名教出于自然；二、嵇康：越名教而任自然；三、郭象：名教即自然</w:t>
      </w:r>
    </w:p>
    <w:p w14:paraId="2726CB1B">
      <w:pPr>
        <w:pStyle w:val="11"/>
        <w:spacing w:line="360" w:lineRule="auto"/>
        <w:ind w:firstLine="0" w:firstLineChars="0"/>
        <w:rPr>
          <w:rFonts w:hint="eastAsia" w:ascii="楷体_GB2312" w:eastAsia="楷体_GB2312"/>
          <w:b/>
          <w:bCs/>
        </w:rPr>
      </w:pPr>
      <w:r>
        <w:rPr>
          <w:rFonts w:hint="eastAsia" w:ascii="楷体_GB2312" w:eastAsia="楷体_GB2312"/>
          <w:b/>
          <w:bCs/>
        </w:rPr>
        <w:t>第三章  宋明理学伦理思想</w:t>
      </w:r>
    </w:p>
    <w:p w14:paraId="28AF6098">
      <w:pPr>
        <w:pStyle w:val="11"/>
        <w:spacing w:line="360" w:lineRule="auto"/>
        <w:ind w:firstLine="0" w:firstLineChars="0"/>
        <w:rPr>
          <w:rFonts w:ascii="楷体_GB2312" w:eastAsia="楷体_GB2312"/>
        </w:rPr>
      </w:pPr>
      <w:r>
        <w:rPr>
          <w:rFonts w:hint="eastAsia" w:ascii="楷体_GB2312" w:eastAsia="楷体_GB2312"/>
        </w:rPr>
        <w:t>第一节  张载的伦理思想</w:t>
      </w:r>
    </w:p>
    <w:p w14:paraId="41A4F0A9">
      <w:pPr>
        <w:pStyle w:val="11"/>
        <w:spacing w:line="360" w:lineRule="auto"/>
        <w:rPr>
          <w:rFonts w:hint="eastAsia" w:ascii="楷体_GB2312" w:eastAsia="楷体_GB2312"/>
        </w:rPr>
      </w:pPr>
      <w:r>
        <w:rPr>
          <w:rFonts w:hint="eastAsia" w:ascii="楷体_GB2312" w:eastAsia="楷体_GB2312"/>
        </w:rPr>
        <w:t>一、人性论；二、修养论；三、境界论</w:t>
      </w:r>
    </w:p>
    <w:p w14:paraId="2A2B2933">
      <w:pPr>
        <w:pStyle w:val="11"/>
        <w:spacing w:line="360" w:lineRule="auto"/>
        <w:ind w:firstLine="0" w:firstLineChars="0"/>
        <w:rPr>
          <w:rFonts w:hint="eastAsia" w:ascii="楷体_GB2312" w:eastAsia="楷体_GB2312"/>
        </w:rPr>
      </w:pPr>
      <w:r>
        <w:rPr>
          <w:rFonts w:hint="eastAsia" w:ascii="楷体_GB2312" w:eastAsia="楷体_GB2312"/>
        </w:rPr>
        <w:t>第二节  朱熹的伦理思想</w:t>
      </w:r>
    </w:p>
    <w:p w14:paraId="515EB721">
      <w:pPr>
        <w:pStyle w:val="11"/>
        <w:spacing w:line="360" w:lineRule="auto"/>
        <w:ind w:firstLineChars="0"/>
        <w:rPr>
          <w:rFonts w:ascii="楷体_GB2312" w:eastAsia="楷体_GB2312"/>
        </w:rPr>
      </w:pPr>
      <w:r>
        <w:rPr>
          <w:rFonts w:hint="eastAsia" w:ascii="楷体_GB2312" w:eastAsia="楷体_GB2312"/>
        </w:rPr>
        <w:t xml:space="preserve"> 一、心性论；二、理欲观；三、修养论；四、朱子学的意义与局限</w:t>
      </w:r>
    </w:p>
    <w:p w14:paraId="051A4910">
      <w:pPr>
        <w:pStyle w:val="11"/>
        <w:spacing w:line="360" w:lineRule="auto"/>
        <w:ind w:firstLine="0" w:firstLineChars="0"/>
        <w:rPr>
          <w:rFonts w:ascii="楷体_GB2312" w:eastAsia="楷体_GB2312"/>
        </w:rPr>
      </w:pPr>
      <w:r>
        <w:rPr>
          <w:rFonts w:ascii="楷体_GB2312" w:eastAsia="楷体_GB2312"/>
        </w:rPr>
        <w:t>第三节</w:t>
      </w:r>
      <w:r>
        <w:rPr>
          <w:rFonts w:hint="eastAsia" w:ascii="楷体_GB2312" w:eastAsia="楷体_GB2312"/>
        </w:rPr>
        <w:t xml:space="preserve">  陆九渊的伦理思想</w:t>
      </w:r>
    </w:p>
    <w:p w14:paraId="63601E37">
      <w:pPr>
        <w:pStyle w:val="11"/>
        <w:spacing w:line="360" w:lineRule="auto"/>
        <w:rPr>
          <w:rFonts w:ascii="楷体_GB2312" w:eastAsia="楷体_GB2312"/>
        </w:rPr>
      </w:pPr>
      <w:r>
        <w:rPr>
          <w:rFonts w:hint="eastAsia" w:ascii="楷体_GB2312" w:eastAsia="楷体_GB2312"/>
        </w:rPr>
        <w:t>一、“本心”；二、“心即理”；三</w:t>
      </w:r>
      <w:r>
        <w:rPr>
          <w:rFonts w:hint="eastAsia" w:ascii="楷体_GB2312" w:eastAsia="楷体_GB2312"/>
          <w:bCs/>
        </w:rPr>
        <w:t>、“发明本心”；四</w:t>
      </w:r>
      <w:r>
        <w:rPr>
          <w:rFonts w:hint="eastAsia" w:ascii="楷体_GB2312" w:eastAsia="楷体_GB2312"/>
        </w:rPr>
        <w:t>、朱陆之辨</w:t>
      </w:r>
    </w:p>
    <w:p w14:paraId="23E8DBE7">
      <w:pPr>
        <w:pStyle w:val="11"/>
        <w:spacing w:line="360" w:lineRule="auto"/>
        <w:ind w:firstLine="0" w:firstLineChars="0"/>
        <w:rPr>
          <w:rFonts w:ascii="楷体_GB2312" w:eastAsia="楷体_GB2312"/>
        </w:rPr>
      </w:pPr>
      <w:r>
        <w:rPr>
          <w:rFonts w:ascii="楷体_GB2312" w:eastAsia="楷体_GB2312"/>
        </w:rPr>
        <w:t>第四节</w:t>
      </w:r>
      <w:r>
        <w:rPr>
          <w:rFonts w:hint="eastAsia" w:ascii="楷体_GB2312" w:eastAsia="楷体_GB2312"/>
        </w:rPr>
        <w:t xml:space="preserve">  王阳明的伦理思想</w:t>
      </w:r>
    </w:p>
    <w:p w14:paraId="312BEBB8">
      <w:pPr>
        <w:pStyle w:val="11"/>
        <w:spacing w:line="360" w:lineRule="auto"/>
        <w:rPr>
          <w:rFonts w:ascii="楷体_GB2312" w:eastAsia="楷体_GB2312"/>
        </w:rPr>
      </w:pPr>
      <w:r>
        <w:rPr>
          <w:rFonts w:hint="eastAsia" w:ascii="楷体_GB2312" w:eastAsia="楷体_GB2312"/>
        </w:rPr>
        <w:t>一、“心即理”；二、“四句理”；三、“心外无理”；四、良知说；五、致良知说；六、知行合一；七、王门四句教；八、王学的意义与局限</w:t>
      </w:r>
    </w:p>
    <w:p w14:paraId="310B8C12">
      <w:pPr>
        <w:pStyle w:val="11"/>
        <w:spacing w:line="360" w:lineRule="auto"/>
        <w:ind w:firstLine="0" w:firstLineChars="0"/>
        <w:rPr>
          <w:rFonts w:ascii="楷体_GB2312" w:eastAsia="楷体_GB2312"/>
        </w:rPr>
      </w:pPr>
      <w:r>
        <w:rPr>
          <w:rFonts w:ascii="楷体_GB2312" w:eastAsia="楷体_GB2312"/>
        </w:rPr>
        <w:t>第</w:t>
      </w:r>
      <w:r>
        <w:rPr>
          <w:rFonts w:hint="eastAsia" w:ascii="楷体_GB2312" w:eastAsia="楷体_GB2312"/>
        </w:rPr>
        <w:t>五</w:t>
      </w:r>
      <w:r>
        <w:rPr>
          <w:rFonts w:ascii="楷体_GB2312" w:eastAsia="楷体_GB2312"/>
        </w:rPr>
        <w:t>节</w:t>
      </w:r>
      <w:r>
        <w:rPr>
          <w:rFonts w:hint="eastAsia" w:ascii="楷体_GB2312" w:eastAsia="楷体_GB2312"/>
        </w:rPr>
        <w:t xml:space="preserve"> </w:t>
      </w:r>
      <w:r>
        <w:rPr>
          <w:rFonts w:ascii="楷体_GB2312" w:eastAsia="楷体_GB2312"/>
        </w:rPr>
        <w:t xml:space="preserve"> 王夫之</w:t>
      </w:r>
      <w:r>
        <w:rPr>
          <w:rFonts w:hint="eastAsia" w:ascii="楷体_GB2312" w:eastAsia="楷体_GB2312"/>
        </w:rPr>
        <w:t>的</w:t>
      </w:r>
      <w:r>
        <w:rPr>
          <w:rFonts w:ascii="楷体_GB2312" w:eastAsia="楷体_GB2312"/>
        </w:rPr>
        <w:t>伦理思想</w:t>
      </w:r>
    </w:p>
    <w:p w14:paraId="054CEFFD">
      <w:pPr>
        <w:pStyle w:val="11"/>
        <w:spacing w:line="360" w:lineRule="auto"/>
        <w:rPr>
          <w:rFonts w:hint="eastAsia" w:ascii="楷体" w:hAnsi="楷体" w:eastAsia="楷体"/>
        </w:rPr>
      </w:pPr>
      <w:r>
        <w:rPr>
          <w:rFonts w:ascii="楷体" w:hAnsi="楷体" w:eastAsia="楷体"/>
        </w:rPr>
        <w:t>一、“性日生则日成”的人性形成过程论</w:t>
      </w:r>
      <w:r>
        <w:rPr>
          <w:rFonts w:hint="eastAsia" w:ascii="楷体" w:hAnsi="楷体" w:eastAsia="楷体"/>
        </w:rPr>
        <w:t>；</w:t>
      </w:r>
      <w:r>
        <w:rPr>
          <w:rFonts w:ascii="楷体" w:hAnsi="楷体" w:eastAsia="楷体"/>
        </w:rPr>
        <w:t>二、“义利之分，利害之别”的义利观</w:t>
      </w:r>
      <w:r>
        <w:rPr>
          <w:rFonts w:hint="eastAsia" w:ascii="楷体" w:hAnsi="楷体" w:eastAsia="楷体"/>
        </w:rPr>
        <w:t>；</w:t>
      </w:r>
      <w:r>
        <w:rPr>
          <w:rFonts w:ascii="楷体" w:hAnsi="楷体" w:eastAsia="楷体"/>
        </w:rPr>
        <w:t>三、天理“必寓于人欲以见”的理欲观</w:t>
      </w:r>
      <w:r>
        <w:rPr>
          <w:rFonts w:hint="eastAsia" w:ascii="楷体" w:hAnsi="楷体" w:eastAsia="楷体"/>
        </w:rPr>
        <w:t>；</w:t>
      </w:r>
      <w:r>
        <w:rPr>
          <w:rFonts w:ascii="楷体" w:hAnsi="楷体" w:eastAsia="楷体"/>
        </w:rPr>
        <w:t>四、“身成”与“性成”统一的“成人之道”</w:t>
      </w:r>
    </w:p>
    <w:p w14:paraId="5F13C12B">
      <w:pPr>
        <w:pStyle w:val="11"/>
        <w:spacing w:line="360" w:lineRule="auto"/>
        <w:ind w:firstLine="0" w:firstLineChars="0"/>
        <w:rPr>
          <w:rFonts w:hint="eastAsia" w:ascii="楷体_GB2312" w:eastAsia="楷体_GB2312"/>
        </w:rPr>
      </w:pPr>
      <w:r>
        <w:rPr>
          <w:rFonts w:ascii="楷体_GB2312" w:eastAsia="楷体_GB2312"/>
        </w:rPr>
        <w:t>第</w:t>
      </w:r>
      <w:r>
        <w:rPr>
          <w:rFonts w:hint="eastAsia" w:ascii="楷体_GB2312" w:eastAsia="楷体_GB2312"/>
        </w:rPr>
        <w:t>六</w:t>
      </w:r>
      <w:r>
        <w:rPr>
          <w:rFonts w:ascii="楷体_GB2312" w:eastAsia="楷体_GB2312"/>
        </w:rPr>
        <w:t>节</w:t>
      </w:r>
      <w:r>
        <w:rPr>
          <w:rFonts w:hint="eastAsia" w:ascii="楷体_GB2312" w:eastAsia="楷体_GB2312"/>
        </w:rPr>
        <w:t xml:space="preserve">  戴震的伦理思想</w:t>
      </w:r>
    </w:p>
    <w:p w14:paraId="6DF5BA50">
      <w:pPr>
        <w:pStyle w:val="11"/>
        <w:spacing w:line="360" w:lineRule="auto"/>
        <w:ind w:firstLineChars="0"/>
        <w:rPr>
          <w:rFonts w:hint="eastAsia" w:ascii="楷体_GB2312" w:eastAsia="楷体_GB2312"/>
        </w:rPr>
      </w:pPr>
      <w:r>
        <w:rPr>
          <w:rFonts w:hint="eastAsia" w:ascii="楷体_GB2312" w:eastAsia="楷体_GB2312"/>
        </w:rPr>
        <w:t>一、</w:t>
      </w:r>
      <w:bookmarkStart w:id="0" w:name="_Toc136341604"/>
      <w:bookmarkStart w:id="1" w:name="_Toc136344923"/>
      <w:r>
        <w:rPr>
          <w:rFonts w:hint="eastAsia" w:ascii="楷体_GB2312" w:eastAsia="楷体_GB2312"/>
        </w:rPr>
        <w:t>戴震人性论的重知特征；二、戴震对理欲关系的辨证</w:t>
      </w:r>
      <w:bookmarkEnd w:id="0"/>
      <w:bookmarkEnd w:id="1"/>
    </w:p>
    <w:p w14:paraId="5AF8A06A">
      <w:pPr>
        <w:pStyle w:val="11"/>
        <w:spacing w:line="360" w:lineRule="auto"/>
        <w:rPr>
          <w:rFonts w:ascii="楷体_GB2312" w:eastAsia="楷体_GB2312"/>
        </w:rPr>
      </w:pPr>
      <w:r>
        <w:rPr>
          <w:rFonts w:hint="eastAsia" w:ascii="楷体_GB2312" w:eastAsia="楷体_GB2312"/>
        </w:rPr>
        <w:t xml:space="preserve">   </w:t>
      </w:r>
    </w:p>
    <w:p w14:paraId="3D53CA77">
      <w:pPr>
        <w:pStyle w:val="10"/>
        <w:spacing w:line="360" w:lineRule="auto"/>
        <w:ind w:firstLine="562"/>
        <w:jc w:val="center"/>
        <w:rPr>
          <w:rFonts w:ascii="楷体_GB2312" w:eastAsia="楷体_GB2312"/>
          <w:bCs/>
          <w:sz w:val="28"/>
          <w:szCs w:val="28"/>
        </w:rPr>
      </w:pPr>
      <w:r>
        <w:rPr>
          <w:rFonts w:hint="eastAsia" w:ascii="楷体_GB2312" w:eastAsia="楷体_GB2312"/>
          <w:bCs/>
          <w:sz w:val="28"/>
          <w:szCs w:val="28"/>
        </w:rPr>
        <w:t>四、参考书目</w:t>
      </w:r>
    </w:p>
    <w:p w14:paraId="34F1BA45">
      <w:pPr>
        <w:pStyle w:val="11"/>
        <w:numPr>
          <w:ilvl w:val="0"/>
          <w:numId w:val="1"/>
        </w:numPr>
        <w:spacing w:line="360" w:lineRule="auto"/>
        <w:ind w:firstLineChars="0"/>
        <w:rPr>
          <w:rFonts w:hint="eastAsia" w:ascii="楷体_GB2312" w:eastAsia="楷体_GB2312"/>
        </w:rPr>
      </w:pPr>
      <w:r>
        <w:rPr>
          <w:rFonts w:hint="eastAsia" w:ascii="楷体_GB2312" w:eastAsia="楷体_GB2312"/>
        </w:rPr>
        <w:t>《中国伦理思想史》编写组：《中国伦理思想史》（第二版），高等教育出版社</w:t>
      </w:r>
      <w:r>
        <w:rPr>
          <w:rFonts w:ascii="楷体_GB2312" w:eastAsia="楷体_GB2312"/>
        </w:rPr>
        <w:t>2018年版</w:t>
      </w:r>
      <w:r>
        <w:rPr>
          <w:rFonts w:hint="eastAsia" w:ascii="楷体_GB2312" w:eastAsia="楷体_GB2312"/>
        </w:rPr>
        <w:t>。</w:t>
      </w:r>
    </w:p>
    <w:p w14:paraId="55AC1F3D">
      <w:pPr>
        <w:pStyle w:val="11"/>
        <w:numPr>
          <w:ilvl w:val="0"/>
          <w:numId w:val="1"/>
        </w:numPr>
        <w:spacing w:line="360" w:lineRule="auto"/>
        <w:ind w:firstLineChars="0"/>
        <w:rPr>
          <w:rFonts w:ascii="楷体_GB2312" w:eastAsia="楷体_GB2312"/>
        </w:rPr>
      </w:pPr>
      <w:r>
        <w:rPr>
          <w:rFonts w:ascii="楷体_GB2312" w:eastAsia="楷体_GB2312"/>
        </w:rPr>
        <w:fldChar w:fldCharType="begin"/>
      </w:r>
      <w:r>
        <w:rPr>
          <w:rFonts w:ascii="楷体_GB2312" w:eastAsia="楷体_GB2312"/>
        </w:rPr>
        <w:instrText xml:space="preserve">HYPERLINK "https://book.jd.com/writer/%E6%9C%B1%E8%B4%BB%E5%BA%AD_1.html" \t "_blank"</w:instrText>
      </w:r>
      <w:r>
        <w:rPr>
          <w:rFonts w:ascii="楷体_GB2312" w:eastAsia="楷体_GB2312"/>
        </w:rPr>
        <w:fldChar w:fldCharType="separate"/>
      </w:r>
      <w:r>
        <w:t>朱贻庭</w:t>
      </w:r>
      <w:r>
        <w:rPr>
          <w:rFonts w:ascii="楷体_GB2312" w:eastAsia="楷体_GB2312"/>
        </w:rPr>
        <w:fldChar w:fldCharType="end"/>
      </w:r>
      <w:r>
        <w:rPr>
          <w:rFonts w:hint="eastAsia" w:ascii="楷体_GB2312" w:eastAsia="楷体_GB2312"/>
        </w:rPr>
        <w:t>主编：《</w:t>
      </w:r>
      <w:r>
        <w:rPr>
          <w:rFonts w:ascii="楷体_GB2312" w:eastAsia="楷体_GB2312"/>
        </w:rPr>
        <w:t>中国传统伦理思想史</w:t>
      </w:r>
      <w:r>
        <w:rPr>
          <w:rFonts w:hint="eastAsia" w:ascii="楷体_GB2312" w:eastAsia="楷体_GB2312"/>
        </w:rPr>
        <w:t>》</w:t>
      </w:r>
      <w:r>
        <w:rPr>
          <w:rFonts w:ascii="楷体_GB2312" w:eastAsia="楷体_GB2312"/>
        </w:rPr>
        <w:t>（第五版）</w:t>
      </w:r>
      <w:r>
        <w:rPr>
          <w:rFonts w:hint="eastAsia" w:ascii="楷体_GB2312" w:eastAsia="楷体_GB2312"/>
        </w:rPr>
        <w:t>，华东师范大学出版社2010年版。</w:t>
      </w:r>
    </w:p>
    <w:p w14:paraId="7DC000F2">
      <w:pPr>
        <w:pStyle w:val="11"/>
        <w:spacing w:line="360" w:lineRule="auto"/>
        <w:ind w:left="360" w:firstLine="0" w:firstLineChars="0"/>
        <w:rPr>
          <w:rFonts w:hint="eastAsia" w:ascii="楷体_GB2312" w:eastAsia="楷体_GB2312"/>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D60C989-3703-4A17-AE40-2CAC12EAEDB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2" w:fontKey="{1F6DC869-1C3E-4791-B08C-7FAD5835A429}"/>
  </w:font>
  <w:font w:name="仿宋_GB2312">
    <w:panose1 w:val="02010609030101010101"/>
    <w:charset w:val="86"/>
    <w:family w:val="modern"/>
    <w:pitch w:val="default"/>
    <w:sig w:usb0="00000001" w:usb1="080E0000" w:usb2="00000000" w:usb3="00000000" w:csb0="00040000" w:csb1="00000000"/>
    <w:embedRegular r:id="rId3" w:fontKey="{D436BAA9-F1D7-417D-B8A3-8D263AE62D20}"/>
  </w:font>
  <w:font w:name="楷体_GB2312">
    <w:panose1 w:val="02010609030101010101"/>
    <w:charset w:val="86"/>
    <w:family w:val="modern"/>
    <w:pitch w:val="default"/>
    <w:sig w:usb0="00000001" w:usb1="080E0000" w:usb2="00000000" w:usb3="00000000" w:csb0="00040000" w:csb1="00000000"/>
    <w:embedRegular r:id="rId4" w:fontKey="{B3F392DA-8DF4-4EE7-9D64-4E9997A44980}"/>
  </w:font>
  <w:font w:name="楷体">
    <w:panose1 w:val="02010609060101010101"/>
    <w:charset w:val="86"/>
    <w:family w:val="modern"/>
    <w:pitch w:val="default"/>
    <w:sig w:usb0="800002BF" w:usb1="38CF7CFA" w:usb2="00000016" w:usb3="00000000" w:csb0="00040001" w:csb1="00000000"/>
    <w:embedRegular r:id="rId5" w:fontKey="{5E298733-CEB5-4DD5-9094-177C04C45D8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6B2C2">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1D06FC"/>
    <w:multiLevelType w:val="multilevel"/>
    <w:tmpl w:val="3F1D06FC"/>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NTk5MGFlMzdmMDY2OTAyYWU1YTVjOWNkODQ4MjgifQ=="/>
  </w:docVars>
  <w:rsids>
    <w:rsidRoot w:val="005850B1"/>
    <w:rsid w:val="000630C5"/>
    <w:rsid w:val="00071626"/>
    <w:rsid w:val="000722DD"/>
    <w:rsid w:val="00074DAB"/>
    <w:rsid w:val="000B46ED"/>
    <w:rsid w:val="00123ABA"/>
    <w:rsid w:val="00147D00"/>
    <w:rsid w:val="00176A6A"/>
    <w:rsid w:val="00193389"/>
    <w:rsid w:val="001A6FD9"/>
    <w:rsid w:val="001B75CA"/>
    <w:rsid w:val="001D6D56"/>
    <w:rsid w:val="00202395"/>
    <w:rsid w:val="00281117"/>
    <w:rsid w:val="00291C71"/>
    <w:rsid w:val="0034078D"/>
    <w:rsid w:val="00357CBC"/>
    <w:rsid w:val="003631E8"/>
    <w:rsid w:val="00386EB9"/>
    <w:rsid w:val="00394DAB"/>
    <w:rsid w:val="003968E4"/>
    <w:rsid w:val="003C6487"/>
    <w:rsid w:val="003C6700"/>
    <w:rsid w:val="0043121A"/>
    <w:rsid w:val="004670C6"/>
    <w:rsid w:val="00480751"/>
    <w:rsid w:val="00485F0B"/>
    <w:rsid w:val="004B26EA"/>
    <w:rsid w:val="004D7243"/>
    <w:rsid w:val="004F1F58"/>
    <w:rsid w:val="00501DE5"/>
    <w:rsid w:val="00516243"/>
    <w:rsid w:val="00556912"/>
    <w:rsid w:val="00576181"/>
    <w:rsid w:val="00582E57"/>
    <w:rsid w:val="005850B1"/>
    <w:rsid w:val="005C6FF5"/>
    <w:rsid w:val="005D37C3"/>
    <w:rsid w:val="005F5419"/>
    <w:rsid w:val="00610BCC"/>
    <w:rsid w:val="006251D3"/>
    <w:rsid w:val="00692166"/>
    <w:rsid w:val="00694656"/>
    <w:rsid w:val="006D5D90"/>
    <w:rsid w:val="006D7029"/>
    <w:rsid w:val="006D7C00"/>
    <w:rsid w:val="006E3B63"/>
    <w:rsid w:val="006E5BFF"/>
    <w:rsid w:val="0070359A"/>
    <w:rsid w:val="007135A4"/>
    <w:rsid w:val="0075521D"/>
    <w:rsid w:val="00757793"/>
    <w:rsid w:val="007D76BA"/>
    <w:rsid w:val="007D79AB"/>
    <w:rsid w:val="0080218C"/>
    <w:rsid w:val="00861002"/>
    <w:rsid w:val="00866174"/>
    <w:rsid w:val="00871592"/>
    <w:rsid w:val="008B5FD5"/>
    <w:rsid w:val="008D2694"/>
    <w:rsid w:val="008E65A4"/>
    <w:rsid w:val="009703CF"/>
    <w:rsid w:val="009912DB"/>
    <w:rsid w:val="009E4CB6"/>
    <w:rsid w:val="00A04688"/>
    <w:rsid w:val="00A07F64"/>
    <w:rsid w:val="00A37E13"/>
    <w:rsid w:val="00A51228"/>
    <w:rsid w:val="00A93257"/>
    <w:rsid w:val="00AC277A"/>
    <w:rsid w:val="00AC6BFC"/>
    <w:rsid w:val="00AD3305"/>
    <w:rsid w:val="00AE0E16"/>
    <w:rsid w:val="00AF355C"/>
    <w:rsid w:val="00B31FC4"/>
    <w:rsid w:val="00B4076D"/>
    <w:rsid w:val="00B4430E"/>
    <w:rsid w:val="00B6333F"/>
    <w:rsid w:val="00B75863"/>
    <w:rsid w:val="00B80513"/>
    <w:rsid w:val="00BC6E49"/>
    <w:rsid w:val="00BD018D"/>
    <w:rsid w:val="00BD5C25"/>
    <w:rsid w:val="00BF2C6B"/>
    <w:rsid w:val="00C41B6E"/>
    <w:rsid w:val="00C71589"/>
    <w:rsid w:val="00C740E7"/>
    <w:rsid w:val="00C85787"/>
    <w:rsid w:val="00CA4ACB"/>
    <w:rsid w:val="00CE5960"/>
    <w:rsid w:val="00CF6C99"/>
    <w:rsid w:val="00D135D0"/>
    <w:rsid w:val="00D33DCD"/>
    <w:rsid w:val="00D45CED"/>
    <w:rsid w:val="00D66E20"/>
    <w:rsid w:val="00D728AB"/>
    <w:rsid w:val="00D74D6D"/>
    <w:rsid w:val="00DB491E"/>
    <w:rsid w:val="00DC5CB5"/>
    <w:rsid w:val="00DE494F"/>
    <w:rsid w:val="00E017CC"/>
    <w:rsid w:val="00E03EA0"/>
    <w:rsid w:val="00E467EE"/>
    <w:rsid w:val="00E537CC"/>
    <w:rsid w:val="00E56F80"/>
    <w:rsid w:val="00E67515"/>
    <w:rsid w:val="00E84E01"/>
    <w:rsid w:val="00E862C4"/>
    <w:rsid w:val="00F23DF7"/>
    <w:rsid w:val="00F81D2C"/>
    <w:rsid w:val="00FB54C4"/>
    <w:rsid w:val="00FF2319"/>
    <w:rsid w:val="00FF716A"/>
    <w:rsid w:val="2CD602AF"/>
    <w:rsid w:val="3E4354CF"/>
    <w:rsid w:val="483B5FBD"/>
    <w:rsid w:val="5632547F"/>
    <w:rsid w:val="60644C7F"/>
    <w:rsid w:val="65720E1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Style w:val="6"/>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rPr>
      <w:sz w:val="24"/>
      <w:szCs w:val="24"/>
    </w:rPr>
  </w:style>
  <w:style w:type="character" w:styleId="8">
    <w:name w:val="Hyperlink"/>
    <w:unhideWhenUsed/>
    <w:uiPriority w:val="99"/>
    <w:rPr>
      <w:color w:val="0563C1"/>
      <w:u w:val="single"/>
    </w:rPr>
  </w:style>
  <w:style w:type="character" w:customStyle="1" w:styleId="9">
    <w:name w:val="批注框文本 Char"/>
    <w:link w:val="2"/>
    <w:semiHidden/>
    <w:uiPriority w:val="99"/>
    <w:rPr>
      <w:sz w:val="18"/>
      <w:szCs w:val="18"/>
    </w:rPr>
  </w:style>
  <w:style w:type="paragraph" w:customStyle="1" w:styleId="10">
    <w:name w:val="p0"/>
    <w:basedOn w:val="1"/>
    <w:uiPriority w:val="0"/>
    <w:pPr>
      <w:widowControl/>
    </w:pPr>
    <w:rPr>
      <w:rFonts w:ascii="Times New Roman" w:hAnsi="Times New Roman" w:eastAsia="宋体" w:cs="Times New Roman"/>
      <w:kern w:val="0"/>
      <w:szCs w:val="21"/>
    </w:rPr>
  </w:style>
  <w:style w:type="paragraph" w:customStyle="1" w:styleId="11">
    <w:name w:val="List Paragraph"/>
    <w:basedOn w:val="1"/>
    <w:qFormat/>
    <w:uiPriority w:val="34"/>
    <w:pPr>
      <w:ind w:firstLine="420" w:firstLineChars="200"/>
    </w:pPr>
  </w:style>
  <w:style w:type="character" w:styleId="12">
    <w:name w:val=""/>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VAIO驱动站</Company>
  <Pages>4</Pages>
  <Words>1395</Words>
  <Characters>1405</Characters>
  <Lines>12</Lines>
  <Paragraphs>3</Paragraphs>
  <TotalTime>0</TotalTime>
  <ScaleCrop>false</ScaleCrop>
  <LinksUpToDate>false</LinksUpToDate>
  <CharactersWithSpaces>1557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2012-09-26T16:28:00Z</dcterms:created>
  <dc:creator>QV</dc:creator>
  <cp:lastModifiedBy>vertesyuan</cp:lastModifiedBy>
  <cp:lastPrinted>2013-07-15T03:06:00Z</cp:lastPrinted>
  <dcterms:modified xsi:type="dcterms:W3CDTF">2024-10-10T08:49:41Z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3B9F4667ACB644C8BA16AC6096AF2C3C_13</vt:lpwstr>
  </property>
</Properties>
</file>