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94" w:right="1127" w:hanging="324"/>
        <w:spacing w:before="180" w:line="27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中央民族大学硕士研究生入学考试初试科目考试大纲</w:t>
      </w:r>
      <w:r>
        <w:rPr>
          <w:sz w:val="28"/>
          <w:szCs w:val="28"/>
          <w:spacing w:val="11"/>
        </w:rPr>
        <w:t xml:space="preserve"> </w:t>
      </w:r>
      <w:r>
        <w:rPr>
          <w:sz w:val="28"/>
          <w:szCs w:val="28"/>
          <w:b/>
          <w:bCs/>
          <w:spacing w:val="-2"/>
        </w:rPr>
        <w:t>科目代码：434</w:t>
      </w:r>
      <w:r>
        <w:rPr>
          <w:sz w:val="28"/>
          <w:szCs w:val="28"/>
          <w:spacing w:val="-2"/>
        </w:rPr>
        <w:t xml:space="preserve">  </w:t>
      </w:r>
      <w:r>
        <w:rPr>
          <w:sz w:val="28"/>
          <w:szCs w:val="28"/>
          <w:b/>
          <w:bCs/>
          <w:spacing w:val="-2"/>
        </w:rPr>
        <w:t>科目名称：国际商务专</w:t>
      </w:r>
      <w:r>
        <w:rPr>
          <w:sz w:val="28"/>
          <w:szCs w:val="28"/>
          <w:b/>
          <w:bCs/>
          <w:spacing w:val="-3"/>
        </w:rPr>
        <w:t>业基础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27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一、考试性质</w:t>
      </w:r>
    </w:p>
    <w:p>
      <w:pPr>
        <w:pStyle w:val="BodyText"/>
        <w:ind w:left="22" w:firstLine="481"/>
        <w:spacing w:before="105" w:line="295" w:lineRule="auto"/>
        <w:jc w:val="both"/>
        <w:rPr/>
      </w:pPr>
      <w:r>
        <w:rPr>
          <w:spacing w:val="-2"/>
        </w:rPr>
        <w:t>《国际商务专业基础》是国际商务硕士（</w:t>
      </w:r>
      <w:r>
        <w:rPr>
          <w:rFonts w:ascii="Times New Roman" w:hAnsi="Times New Roman" w:eastAsia="Times New Roman" w:cs="Times New Roman"/>
          <w:spacing w:val="-2"/>
        </w:rPr>
        <w:t>MIB</w:t>
      </w:r>
      <w:r>
        <w:rPr>
          <w:spacing w:val="-2"/>
        </w:rPr>
        <w:t>）专业学位研</w:t>
      </w:r>
      <w:r>
        <w:rPr>
          <w:spacing w:val="-3"/>
        </w:rPr>
        <w:t>究生入学统一考</w:t>
      </w:r>
      <w:r>
        <w:rPr/>
        <w:t xml:space="preserve">  </w:t>
      </w:r>
      <w:r>
        <w:rPr>
          <w:spacing w:val="-3"/>
        </w:rPr>
        <w:t>试的科目之一。《国际商务专业基础》考试要力求反映国际商务硕士</w:t>
      </w:r>
      <w:r>
        <w:rPr>
          <w:spacing w:val="-4"/>
        </w:rPr>
        <w:t>专业学位的</w:t>
      </w:r>
      <w:r>
        <w:rPr/>
        <w:t xml:space="preserve">  </w:t>
      </w:r>
      <w:r>
        <w:rPr>
          <w:spacing w:val="-8"/>
        </w:rPr>
        <w:t>特点，科学、公平、准确、规范地测评考生的专业</w:t>
      </w:r>
      <w:r>
        <w:rPr>
          <w:spacing w:val="-9"/>
        </w:rPr>
        <w:t>基础素质和综合能力，</w:t>
      </w:r>
      <w:r>
        <w:rPr>
          <w:spacing w:val="69"/>
        </w:rPr>
        <w:t xml:space="preserve"> </w:t>
      </w:r>
      <w:r>
        <w:rPr>
          <w:spacing w:val="-9"/>
        </w:rPr>
        <w:t>以利于</w:t>
      </w:r>
      <w:r>
        <w:rPr/>
        <w:t xml:space="preserve">  </w:t>
      </w:r>
      <w:r>
        <w:rPr>
          <w:spacing w:val="-3"/>
        </w:rPr>
        <w:t>选拔具有发展潜力的优秀人才入学，为国家开放型经济体系建设培养具有良好职</w:t>
      </w:r>
      <w:r>
        <w:rPr>
          <w:spacing w:val="1"/>
        </w:rPr>
        <w:t xml:space="preserve">  </w:t>
      </w:r>
      <w:r>
        <w:rPr>
          <w:spacing w:val="-4"/>
        </w:rPr>
        <w:t>业操守和国际视野、具有较强跨文化沟通以及分析与解决实际问题能力的高层次、</w:t>
      </w:r>
      <w:r>
        <w:rPr>
          <w:spacing w:val="6"/>
        </w:rPr>
        <w:t xml:space="preserve"> </w:t>
      </w:r>
      <w:r>
        <w:rPr>
          <w:spacing w:val="-3"/>
        </w:rPr>
        <w:t>应用型、复合型国际商务专业人才。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27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二、考试要求</w:t>
      </w:r>
    </w:p>
    <w:p>
      <w:pPr>
        <w:pStyle w:val="BodyText"/>
        <w:ind w:left="22" w:right="207" w:firstLine="481"/>
        <w:spacing w:before="104" w:line="286" w:lineRule="auto"/>
        <w:rPr/>
      </w:pPr>
      <w:r>
        <w:rPr>
          <w:spacing w:val="-3"/>
        </w:rPr>
        <w:t>测试考生对于国际商务相关的基本概念、基本理论、基</w:t>
      </w:r>
      <w:r>
        <w:rPr>
          <w:spacing w:val="-4"/>
        </w:rPr>
        <w:t>础知识的掌握情况以</w:t>
      </w:r>
      <w:r>
        <w:rPr/>
        <w:t xml:space="preserve"> </w:t>
      </w:r>
      <w:r>
        <w:rPr>
          <w:spacing w:val="-2"/>
        </w:rPr>
        <w:t>及综合运用分析和解决国际商务现实问题的能力。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28"/>
        <w:spacing w:before="79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三、考试方式与分值</w:t>
      </w:r>
    </w:p>
    <w:p>
      <w:pPr>
        <w:pStyle w:val="BodyText"/>
        <w:ind w:left="25" w:right="204" w:firstLine="478"/>
        <w:spacing w:before="105" w:line="286" w:lineRule="auto"/>
        <w:rPr/>
      </w:pPr>
      <w:r>
        <w:rPr>
          <w:spacing w:val="-4"/>
        </w:rPr>
        <w:t>本科目满分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分，由各培养单位自行命题，全国统一考试。答题方式为闭</w:t>
      </w:r>
      <w:r>
        <w:rPr/>
        <w:t xml:space="preserve"> </w:t>
      </w:r>
      <w:r>
        <w:rPr>
          <w:spacing w:val="-4"/>
        </w:rPr>
        <w:t>卷、笔试。考试时间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38"/>
        <w:spacing w:before="79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四、考试内容</w:t>
      </w:r>
    </w:p>
    <w:p>
      <w:pPr>
        <w:pStyle w:val="BodyText"/>
        <w:ind w:left="443"/>
        <w:spacing w:before="104" w:line="220" w:lineRule="auto"/>
        <w:rPr/>
      </w:pPr>
      <w:r>
        <w:rPr>
          <w:b/>
          <w:bCs/>
          <w:spacing w:val="-5"/>
        </w:rPr>
        <w:t>第一部分</w:t>
      </w:r>
      <w:r>
        <w:rPr>
          <w:spacing w:val="35"/>
        </w:rPr>
        <w:t xml:space="preserve"> </w:t>
      </w:r>
      <w:r>
        <w:rPr>
          <w:b/>
          <w:bCs/>
          <w:spacing w:val="-5"/>
        </w:rPr>
        <w:t>国际贸易理论与政策</w:t>
      </w:r>
    </w:p>
    <w:p>
      <w:pPr>
        <w:pStyle w:val="BodyText"/>
        <w:ind w:left="655"/>
        <w:spacing w:before="103" w:line="219" w:lineRule="auto"/>
        <w:outlineLvl w:val="1"/>
        <w:rPr/>
      </w:pPr>
      <w:r>
        <w:rPr>
          <w:b/>
          <w:bCs/>
          <w:spacing w:val="-7"/>
        </w:rPr>
        <w:t>第一章</w:t>
      </w:r>
      <w:r>
        <w:rPr>
          <w:spacing w:val="39"/>
        </w:rPr>
        <w:t xml:space="preserve"> </w:t>
      </w:r>
      <w:r>
        <w:rPr>
          <w:b/>
          <w:bCs/>
          <w:spacing w:val="-7"/>
        </w:rPr>
        <w:t>国际贸易理论</w:t>
      </w:r>
    </w:p>
    <w:p>
      <w:pPr>
        <w:pStyle w:val="BodyText"/>
        <w:ind w:left="863" w:right="4431"/>
        <w:spacing w:before="104" w:line="286" w:lineRule="auto"/>
        <w:rPr/>
      </w:pPr>
      <w:r>
        <w:rPr>
          <w:spacing w:val="-1"/>
        </w:rPr>
        <w:t>第一节 绝对优势与比较优势论</w:t>
      </w:r>
      <w:r>
        <w:rPr>
          <w:spacing w:val="3"/>
        </w:rPr>
        <w:t xml:space="preserve"> </w:t>
      </w:r>
      <w:r>
        <w:rPr>
          <w:spacing w:val="-1"/>
        </w:rPr>
        <w:t>第二节 要素禀赋论</w:t>
      </w:r>
    </w:p>
    <w:p>
      <w:pPr>
        <w:pStyle w:val="BodyText"/>
        <w:ind w:left="863"/>
        <w:spacing w:before="34" w:line="220" w:lineRule="auto"/>
        <w:rPr/>
      </w:pPr>
      <w:r>
        <w:rPr>
          <w:spacing w:val="-2"/>
        </w:rPr>
        <w:t>第三节 新贸易理论</w:t>
      </w:r>
    </w:p>
    <w:p>
      <w:pPr>
        <w:pStyle w:val="BodyText"/>
        <w:ind w:left="863" w:right="2270"/>
        <w:spacing w:before="105" w:line="285" w:lineRule="auto"/>
        <w:rPr/>
      </w:pPr>
      <w:r>
        <w:rPr>
          <w:spacing w:val="-1"/>
        </w:rPr>
        <w:t>第四节 新新贸易理论和全球价值链理论的基本概念</w:t>
      </w:r>
      <w:r>
        <w:rPr>
          <w:spacing w:val="13"/>
        </w:rPr>
        <w:t xml:space="preserve"> </w:t>
      </w:r>
      <w:r>
        <w:rPr>
          <w:spacing w:val="-1"/>
        </w:rPr>
        <w:t>第五节 服务贸易的基本概念</w:t>
      </w:r>
    </w:p>
    <w:p>
      <w:pPr>
        <w:pStyle w:val="BodyText"/>
        <w:ind w:left="655"/>
        <w:spacing w:before="36" w:line="219" w:lineRule="auto"/>
        <w:outlineLvl w:val="1"/>
        <w:rPr/>
      </w:pPr>
      <w:r>
        <w:rPr>
          <w:b/>
          <w:bCs/>
          <w:spacing w:val="-6"/>
        </w:rPr>
        <w:t>第二章</w:t>
      </w:r>
      <w:r>
        <w:rPr>
          <w:spacing w:val="43"/>
        </w:rPr>
        <w:t xml:space="preserve"> </w:t>
      </w:r>
      <w:r>
        <w:rPr>
          <w:b/>
          <w:bCs/>
          <w:spacing w:val="-6"/>
        </w:rPr>
        <w:t>国际贸易政策与措施</w:t>
      </w:r>
    </w:p>
    <w:p>
      <w:pPr>
        <w:pStyle w:val="BodyText"/>
        <w:ind w:left="863"/>
        <w:spacing w:before="106" w:line="220" w:lineRule="auto"/>
        <w:rPr/>
      </w:pPr>
      <w:r>
        <w:rPr>
          <w:spacing w:val="-4"/>
        </w:rPr>
        <w:t>第一节</w:t>
      </w:r>
      <w:r>
        <w:rPr>
          <w:spacing w:val="41"/>
        </w:rPr>
        <w:t xml:space="preserve"> </w:t>
      </w:r>
      <w:r>
        <w:rPr>
          <w:spacing w:val="-4"/>
        </w:rPr>
        <w:t>国际贸易的边界措施</w:t>
      </w:r>
    </w:p>
    <w:p>
      <w:pPr>
        <w:pStyle w:val="BodyText"/>
        <w:ind w:left="863" w:right="4431"/>
        <w:spacing w:before="102" w:line="286" w:lineRule="auto"/>
        <w:rPr/>
      </w:pPr>
      <w:r>
        <w:rPr>
          <w:spacing w:val="-4"/>
        </w:rPr>
        <w:t>第二节</w:t>
      </w:r>
      <w:r>
        <w:rPr>
          <w:spacing w:val="41"/>
        </w:rPr>
        <w:t xml:space="preserve"> </w:t>
      </w:r>
      <w:r>
        <w:rPr>
          <w:spacing w:val="-4"/>
        </w:rPr>
        <w:t>国际贸易的边界内措施</w:t>
      </w:r>
      <w:r>
        <w:rPr/>
        <w:t xml:space="preserve"> </w:t>
      </w:r>
      <w:r>
        <w:rPr>
          <w:spacing w:val="-5"/>
        </w:rPr>
        <w:t>第三节</w:t>
      </w:r>
      <w:r>
        <w:rPr>
          <w:spacing w:val="40"/>
        </w:rPr>
        <w:t xml:space="preserve"> </w:t>
      </w:r>
      <w:r>
        <w:rPr>
          <w:spacing w:val="-5"/>
        </w:rPr>
        <w:t>国际贸易摩擦</w:t>
      </w:r>
    </w:p>
    <w:p>
      <w:pPr>
        <w:pStyle w:val="BodyText"/>
        <w:ind w:left="863"/>
        <w:spacing w:before="34" w:line="220" w:lineRule="auto"/>
        <w:rPr/>
      </w:pPr>
      <w:r>
        <w:rPr>
          <w:spacing w:val="-2"/>
        </w:rPr>
        <w:t>第四节</w:t>
      </w:r>
      <w:r>
        <w:rPr>
          <w:spacing w:val="35"/>
        </w:rPr>
        <w:t xml:space="preserve"> </w:t>
      </w:r>
      <w:r>
        <w:rPr>
          <w:spacing w:val="-2"/>
        </w:rPr>
        <w:t>国际贸易中的知识产权保护与环境保护政策</w:t>
      </w:r>
    </w:p>
    <w:p>
      <w:pPr>
        <w:pStyle w:val="BodyText"/>
        <w:ind w:left="655"/>
        <w:spacing w:before="104" w:line="219" w:lineRule="auto"/>
        <w:outlineLvl w:val="1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区域经济一体化与多边贸易体制</w:t>
      </w:r>
    </w:p>
    <w:p>
      <w:pPr>
        <w:pStyle w:val="BodyText"/>
        <w:ind w:left="863" w:right="3951"/>
        <w:spacing w:before="104" w:line="286" w:lineRule="auto"/>
        <w:rPr/>
      </w:pPr>
      <w:r>
        <w:rPr>
          <w:spacing w:val="-1"/>
        </w:rPr>
        <w:t>第一节 经济全球化与世界贸易组织</w:t>
      </w:r>
      <w:r>
        <w:rPr>
          <w:spacing w:val="5"/>
        </w:rPr>
        <w:t xml:space="preserve"> </w:t>
      </w:r>
      <w:r>
        <w:rPr>
          <w:spacing w:val="-1"/>
        </w:rPr>
        <w:t>第二节 欧洲一体化实践</w:t>
      </w:r>
    </w:p>
    <w:p>
      <w:pPr>
        <w:spacing w:line="286" w:lineRule="auto"/>
        <w:sectPr>
          <w:footerReference w:type="default" r:id="rId1"/>
          <w:pgSz w:w="11907" w:h="16839"/>
          <w:pgMar w:top="1431" w:right="1594" w:bottom="1153" w:left="1785" w:header="0" w:footer="993" w:gutter="0"/>
        </w:sectPr>
        <w:rPr/>
      </w:pPr>
    </w:p>
    <w:p>
      <w:pPr>
        <w:pStyle w:val="BodyText"/>
        <w:ind w:left="863"/>
        <w:spacing w:before="47" w:line="220" w:lineRule="auto"/>
        <w:rPr/>
      </w:pPr>
      <w:r>
        <w:rPr>
          <w:spacing w:val="-1"/>
        </w:rPr>
        <w:t>第三节 其他区域自由贸易安排</w:t>
      </w:r>
    </w:p>
    <w:p>
      <w:pPr>
        <w:pStyle w:val="BodyText"/>
        <w:ind w:left="655"/>
        <w:spacing w:before="103" w:line="219" w:lineRule="auto"/>
        <w:outlineLvl w:val="1"/>
        <w:rPr/>
      </w:pPr>
      <w:r>
        <w:rPr>
          <w:b/>
          <w:bCs/>
          <w:spacing w:val="-4"/>
        </w:rPr>
        <w:t>第四章</w:t>
      </w:r>
      <w:r>
        <w:rPr>
          <w:spacing w:val="34"/>
        </w:rPr>
        <w:t xml:space="preserve"> </w:t>
      </w:r>
      <w:r>
        <w:rPr>
          <w:b/>
          <w:bCs/>
          <w:spacing w:val="-4"/>
        </w:rPr>
        <w:t>中国的国际贸易战略、政策与实践</w:t>
      </w:r>
    </w:p>
    <w:p>
      <w:pPr>
        <w:pStyle w:val="BodyText"/>
        <w:ind w:left="863" w:right="2799"/>
        <w:spacing w:before="103" w:line="286" w:lineRule="auto"/>
        <w:rPr/>
      </w:pPr>
      <w:r>
        <w:rPr>
          <w:spacing w:val="-4"/>
        </w:rPr>
        <w:t>第一节</w:t>
      </w:r>
      <w:r>
        <w:rPr>
          <w:spacing w:val="66"/>
        </w:rPr>
        <w:t xml:space="preserve"> </w:t>
      </w:r>
      <w:r>
        <w:rPr>
          <w:spacing w:val="-4"/>
        </w:rPr>
        <w:t>自由贸易试验区和“一带一路”倡议</w:t>
      </w:r>
      <w:r>
        <w:rPr/>
        <w:t xml:space="preserve"> </w:t>
      </w:r>
      <w:r>
        <w:rPr>
          <w:spacing w:val="-1"/>
        </w:rPr>
        <w:t>第二节 改革开放与国际贸易政策调整</w:t>
      </w:r>
    </w:p>
    <w:p>
      <w:pPr>
        <w:pStyle w:val="BodyText"/>
        <w:ind w:left="863"/>
        <w:spacing w:before="34" w:line="220" w:lineRule="auto"/>
        <w:rPr/>
      </w:pPr>
      <w:r>
        <w:rPr>
          <w:spacing w:val="-3"/>
        </w:rPr>
        <w:t>第三节</w:t>
      </w:r>
      <w:r>
        <w:rPr>
          <w:spacing w:val="35"/>
        </w:rPr>
        <w:t xml:space="preserve"> </w:t>
      </w:r>
      <w:r>
        <w:rPr>
          <w:spacing w:val="-3"/>
        </w:rPr>
        <w:t>国际贸易新业态与中国实践</w:t>
      </w:r>
    </w:p>
    <w:p>
      <w:pPr>
        <w:pStyle w:val="BodyText"/>
        <w:ind w:left="443"/>
        <w:spacing w:before="105" w:line="220" w:lineRule="auto"/>
        <w:rPr/>
      </w:pPr>
      <w:r>
        <w:rPr>
          <w:b/>
          <w:bCs/>
          <w:spacing w:val="-5"/>
        </w:rPr>
        <w:t>第二部分</w:t>
      </w:r>
      <w:r>
        <w:rPr>
          <w:spacing w:val="41"/>
        </w:rPr>
        <w:t xml:space="preserve"> </w:t>
      </w:r>
      <w:r>
        <w:rPr>
          <w:b/>
          <w:bCs/>
          <w:spacing w:val="-5"/>
        </w:rPr>
        <w:t>国际直接投资与国际企业</w:t>
      </w:r>
    </w:p>
    <w:p>
      <w:pPr>
        <w:pStyle w:val="BodyText"/>
        <w:ind w:left="655"/>
        <w:spacing w:before="103" w:line="219" w:lineRule="auto"/>
        <w:outlineLvl w:val="1"/>
        <w:rPr/>
      </w:pPr>
      <w:r>
        <w:rPr>
          <w:b/>
          <w:bCs/>
          <w:spacing w:val="-5"/>
        </w:rPr>
        <w:t>第一章</w:t>
      </w:r>
      <w:r>
        <w:rPr>
          <w:spacing w:val="38"/>
        </w:rPr>
        <w:t xml:space="preserve"> </w:t>
      </w:r>
      <w:r>
        <w:rPr>
          <w:b/>
          <w:bCs/>
          <w:spacing w:val="-5"/>
        </w:rPr>
        <w:t>国际直接投资与跨国公司</w:t>
      </w:r>
    </w:p>
    <w:p>
      <w:pPr>
        <w:pStyle w:val="BodyText"/>
        <w:ind w:left="863"/>
        <w:spacing w:before="103" w:line="220" w:lineRule="auto"/>
        <w:rPr/>
      </w:pPr>
      <w:r>
        <w:rPr>
          <w:spacing w:val="-4"/>
        </w:rPr>
        <w:t>第一节</w:t>
      </w:r>
      <w:r>
        <w:rPr>
          <w:spacing w:val="38"/>
        </w:rPr>
        <w:t xml:space="preserve"> </w:t>
      </w:r>
      <w:r>
        <w:rPr>
          <w:spacing w:val="-4"/>
        </w:rPr>
        <w:t>国际直接投资的动因</w:t>
      </w:r>
    </w:p>
    <w:p>
      <w:pPr>
        <w:pStyle w:val="BodyText"/>
        <w:ind w:left="863" w:right="3760"/>
        <w:spacing w:before="104" w:line="286" w:lineRule="auto"/>
        <w:rPr/>
      </w:pPr>
      <w:r>
        <w:rPr>
          <w:spacing w:val="-1"/>
        </w:rPr>
        <w:t>第二节 水平与垂直型对外直接投资</w:t>
      </w:r>
      <w:r>
        <w:rPr>
          <w:spacing w:val="5"/>
        </w:rPr>
        <w:t xml:space="preserve"> </w:t>
      </w:r>
      <w:r>
        <w:rPr>
          <w:spacing w:val="-1"/>
        </w:rPr>
        <w:t>第三节 跨国公司发展及其主要类型</w:t>
      </w:r>
    </w:p>
    <w:p>
      <w:pPr>
        <w:pStyle w:val="BodyText"/>
        <w:ind w:left="655"/>
        <w:spacing w:before="34" w:line="219" w:lineRule="auto"/>
        <w:outlineLvl w:val="1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企业对外直接投资的战略决策</w:t>
      </w:r>
    </w:p>
    <w:p>
      <w:pPr>
        <w:pStyle w:val="BodyText"/>
        <w:ind w:left="863"/>
        <w:spacing w:before="103" w:line="220" w:lineRule="auto"/>
        <w:rPr/>
      </w:pPr>
      <w:r>
        <w:rPr>
          <w:spacing w:val="-1"/>
        </w:rPr>
        <w:t>第一节 对外直接投资的选址决策</w:t>
      </w:r>
    </w:p>
    <w:p>
      <w:pPr>
        <w:pStyle w:val="BodyText"/>
        <w:ind w:left="863"/>
        <w:spacing w:before="104" w:line="219" w:lineRule="auto"/>
        <w:rPr/>
      </w:pPr>
      <w:r>
        <w:rPr>
          <w:spacing w:val="-1"/>
        </w:rPr>
        <w:t>第二节 对外直接投资的时机决策</w:t>
      </w:r>
    </w:p>
    <w:p>
      <w:pPr>
        <w:pStyle w:val="BodyText"/>
        <w:ind w:left="863"/>
        <w:spacing w:before="103" w:line="220" w:lineRule="auto"/>
        <w:rPr/>
      </w:pPr>
      <w:r>
        <w:rPr>
          <w:spacing w:val="-1"/>
        </w:rPr>
        <w:t>第三节 对外直接投资进入模式决策</w:t>
      </w:r>
    </w:p>
    <w:p>
      <w:pPr>
        <w:pStyle w:val="BodyText"/>
        <w:ind w:left="655"/>
        <w:spacing w:before="106" w:line="219" w:lineRule="auto"/>
        <w:outlineLvl w:val="1"/>
        <w:rPr/>
      </w:pPr>
      <w:r>
        <w:rPr>
          <w:b/>
          <w:bCs/>
          <w:spacing w:val="-2"/>
        </w:rPr>
        <w:t>第三章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对外直接投资的母国与东道国效应</w:t>
      </w:r>
    </w:p>
    <w:p>
      <w:pPr>
        <w:pStyle w:val="BodyText"/>
        <w:ind w:left="863"/>
        <w:spacing w:before="104" w:line="218" w:lineRule="auto"/>
        <w:rPr/>
      </w:pPr>
      <w:r>
        <w:rPr>
          <w:spacing w:val="-1"/>
        </w:rPr>
        <w:t>第一节 对外直接投资与母国利益和代价</w:t>
      </w:r>
    </w:p>
    <w:p>
      <w:pPr>
        <w:pStyle w:val="BodyText"/>
        <w:ind w:left="863" w:right="3760"/>
        <w:spacing w:before="105" w:line="286" w:lineRule="auto"/>
        <w:rPr/>
      </w:pPr>
      <w:r>
        <w:rPr>
          <w:spacing w:val="-1"/>
        </w:rPr>
        <w:t>第二节 对外直接投资与东道国效应</w:t>
      </w:r>
      <w:r>
        <w:rPr>
          <w:spacing w:val="5"/>
        </w:rPr>
        <w:t xml:space="preserve"> </w:t>
      </w:r>
      <w:r>
        <w:rPr>
          <w:spacing w:val="-1"/>
        </w:rPr>
        <w:t>第三节 对外直接投资中的政府行为</w:t>
      </w:r>
    </w:p>
    <w:p>
      <w:pPr>
        <w:pStyle w:val="BodyText"/>
        <w:ind w:left="443"/>
        <w:spacing w:before="34" w:line="220" w:lineRule="auto"/>
        <w:rPr/>
      </w:pPr>
      <w:r>
        <w:rPr>
          <w:b/>
          <w:bCs/>
          <w:spacing w:val="-7"/>
        </w:rPr>
        <w:t>第三部分</w:t>
      </w:r>
      <w:r>
        <w:rPr>
          <w:spacing w:val="33"/>
        </w:rPr>
        <w:t xml:space="preserve"> </w:t>
      </w:r>
      <w:r>
        <w:rPr>
          <w:b/>
          <w:bCs/>
          <w:spacing w:val="-7"/>
        </w:rPr>
        <w:t>国际金融</w:t>
      </w:r>
    </w:p>
    <w:p>
      <w:pPr>
        <w:pStyle w:val="BodyText"/>
        <w:ind w:left="655"/>
        <w:spacing w:before="104" w:line="219" w:lineRule="auto"/>
        <w:outlineLvl w:val="1"/>
        <w:rPr/>
      </w:pPr>
      <w:r>
        <w:rPr>
          <w:b/>
          <w:bCs/>
          <w:spacing w:val="-5"/>
        </w:rPr>
        <w:t>第一章</w:t>
      </w:r>
      <w:r>
        <w:rPr>
          <w:spacing w:val="37"/>
        </w:rPr>
        <w:t xml:space="preserve"> </w:t>
      </w:r>
      <w:r>
        <w:rPr>
          <w:b/>
          <w:bCs/>
          <w:spacing w:val="-5"/>
        </w:rPr>
        <w:t>国际货币体系与汇率制度</w:t>
      </w:r>
    </w:p>
    <w:p>
      <w:pPr>
        <w:pStyle w:val="BodyText"/>
        <w:ind w:left="863"/>
        <w:spacing w:before="104" w:line="219" w:lineRule="auto"/>
        <w:rPr/>
      </w:pPr>
      <w:r>
        <w:rPr>
          <w:spacing w:val="-1"/>
        </w:rPr>
        <w:t>第一节 金本位制度</w:t>
      </w:r>
    </w:p>
    <w:p>
      <w:pPr>
        <w:pStyle w:val="BodyText"/>
        <w:ind w:left="863" w:right="4960"/>
        <w:spacing w:before="103" w:line="286" w:lineRule="auto"/>
        <w:rPr/>
      </w:pPr>
      <w:r>
        <w:rPr>
          <w:spacing w:val="-1"/>
        </w:rPr>
        <w:t>第二节 布雷顿森林体系</w:t>
      </w:r>
      <w:r>
        <w:rPr/>
        <w:t xml:space="preserve"> </w:t>
      </w:r>
      <w:r>
        <w:rPr>
          <w:spacing w:val="-1"/>
        </w:rPr>
        <w:t>第三节 浮动汇率制度</w:t>
      </w:r>
    </w:p>
    <w:p>
      <w:pPr>
        <w:pStyle w:val="BodyText"/>
        <w:ind w:left="863" w:right="4240"/>
        <w:spacing w:before="38" w:line="285" w:lineRule="auto"/>
        <w:rPr/>
      </w:pPr>
      <w:r>
        <w:rPr>
          <w:spacing w:val="-4"/>
        </w:rPr>
        <w:t>第四节</w:t>
      </w:r>
      <w:r>
        <w:rPr>
          <w:spacing w:val="41"/>
        </w:rPr>
        <w:t xml:space="preserve"> </w:t>
      </w:r>
      <w:r>
        <w:rPr>
          <w:spacing w:val="-4"/>
        </w:rPr>
        <w:t>国际货币体系及其改革</w:t>
      </w:r>
      <w:r>
        <w:rPr/>
        <w:t xml:space="preserve"> </w:t>
      </w:r>
      <w:r>
        <w:rPr>
          <w:spacing w:val="-1"/>
        </w:rPr>
        <w:t>第五节 人民币汇率改革</w:t>
      </w:r>
    </w:p>
    <w:p>
      <w:pPr>
        <w:pStyle w:val="BodyText"/>
        <w:ind w:left="655"/>
        <w:spacing w:before="36" w:line="219" w:lineRule="auto"/>
        <w:outlineLvl w:val="1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外汇市场、外汇业务与风险</w:t>
      </w:r>
    </w:p>
    <w:p>
      <w:pPr>
        <w:pStyle w:val="BodyText"/>
        <w:ind w:left="863"/>
        <w:spacing w:before="104" w:line="220" w:lineRule="auto"/>
        <w:rPr/>
      </w:pPr>
      <w:r>
        <w:rPr>
          <w:spacing w:val="-1"/>
        </w:rPr>
        <w:t>第一节 外汇市场与外汇业务</w:t>
      </w:r>
    </w:p>
    <w:p>
      <w:pPr>
        <w:pStyle w:val="BodyText"/>
        <w:ind w:left="863" w:right="5680"/>
        <w:spacing w:before="103" w:line="286" w:lineRule="auto"/>
        <w:rPr/>
      </w:pPr>
      <w:r>
        <w:rPr>
          <w:spacing w:val="-2"/>
        </w:rPr>
        <w:t>第二节 汇率决定</w:t>
      </w:r>
      <w:r>
        <w:rPr>
          <w:spacing w:val="5"/>
        </w:rPr>
        <w:t xml:space="preserve"> </w:t>
      </w:r>
      <w:r>
        <w:rPr>
          <w:spacing w:val="-2"/>
        </w:rPr>
        <w:t>第三节 外汇风险</w:t>
      </w:r>
    </w:p>
    <w:p>
      <w:pPr>
        <w:pStyle w:val="BodyText"/>
        <w:ind w:left="655"/>
        <w:spacing w:before="34" w:line="219" w:lineRule="auto"/>
        <w:outlineLvl w:val="1"/>
        <w:rPr/>
      </w:pPr>
      <w:r>
        <w:rPr>
          <w:b/>
          <w:bCs/>
          <w:spacing w:val="-7"/>
        </w:rPr>
        <w:t>第三章</w:t>
      </w:r>
      <w:r>
        <w:rPr>
          <w:spacing w:val="39"/>
        </w:rPr>
        <w:t xml:space="preserve"> </w:t>
      </w:r>
      <w:r>
        <w:rPr>
          <w:b/>
          <w:bCs/>
          <w:spacing w:val="-7"/>
        </w:rPr>
        <w:t>国际金融市场</w:t>
      </w:r>
    </w:p>
    <w:p>
      <w:pPr>
        <w:pStyle w:val="BodyText"/>
        <w:ind w:left="863"/>
        <w:spacing w:before="104" w:line="220" w:lineRule="auto"/>
        <w:rPr/>
      </w:pPr>
      <w:r>
        <w:rPr>
          <w:spacing w:val="-4"/>
        </w:rPr>
        <w:t>第一节</w:t>
      </w:r>
      <w:r>
        <w:rPr>
          <w:spacing w:val="37"/>
        </w:rPr>
        <w:t xml:space="preserve"> </w:t>
      </w:r>
      <w:r>
        <w:rPr>
          <w:spacing w:val="-4"/>
        </w:rPr>
        <w:t>国际金融市场概述</w:t>
      </w:r>
    </w:p>
    <w:p>
      <w:pPr>
        <w:pStyle w:val="BodyText"/>
        <w:ind w:left="863" w:right="5680"/>
        <w:spacing w:before="104" w:line="291" w:lineRule="auto"/>
        <w:jc w:val="both"/>
        <w:rPr/>
      </w:pPr>
      <w:r>
        <w:rPr>
          <w:spacing w:val="-4"/>
        </w:rPr>
        <w:t>第二节</w:t>
      </w:r>
      <w:r>
        <w:rPr>
          <w:spacing w:val="17"/>
        </w:rPr>
        <w:t xml:space="preserve"> </w:t>
      </w:r>
      <w:r>
        <w:rPr>
          <w:spacing w:val="-4"/>
        </w:rPr>
        <w:t>货币市场</w:t>
      </w:r>
      <w:r>
        <w:rPr/>
        <w:t xml:space="preserve"> </w:t>
      </w:r>
      <w:r>
        <w:rPr>
          <w:spacing w:val="-2"/>
        </w:rPr>
        <w:t>第三节 债券市场</w:t>
      </w:r>
      <w:r>
        <w:rPr>
          <w:spacing w:val="5"/>
        </w:rPr>
        <w:t xml:space="preserve"> </w:t>
      </w:r>
      <w:r>
        <w:rPr>
          <w:spacing w:val="-2"/>
        </w:rPr>
        <w:t>第四节 股权市场</w:t>
      </w:r>
    </w:p>
    <w:p>
      <w:pPr>
        <w:pStyle w:val="BodyText"/>
        <w:ind w:left="655"/>
        <w:spacing w:before="33" w:line="219" w:lineRule="auto"/>
        <w:outlineLvl w:val="1"/>
        <w:rPr/>
      </w:pPr>
      <w:r>
        <w:rPr>
          <w:b/>
          <w:bCs/>
          <w:spacing w:val="-7"/>
        </w:rPr>
        <w:t>第四章</w:t>
      </w:r>
      <w:r>
        <w:rPr>
          <w:spacing w:val="39"/>
        </w:rPr>
        <w:t xml:space="preserve"> </w:t>
      </w:r>
      <w:r>
        <w:rPr>
          <w:b/>
          <w:bCs/>
          <w:spacing w:val="-7"/>
        </w:rPr>
        <w:t>国际金融危机</w:t>
      </w:r>
    </w:p>
    <w:p>
      <w:pPr>
        <w:pStyle w:val="BodyText"/>
        <w:ind w:left="863"/>
        <w:spacing w:before="105" w:line="219" w:lineRule="auto"/>
        <w:rPr/>
      </w:pPr>
      <w:r>
        <w:rPr>
          <w:spacing w:val="-1"/>
        </w:rPr>
        <w:t>第一节 </w:t>
      </w:r>
      <w:r>
        <w:rPr>
          <w:rFonts w:ascii="Times New Roman" w:hAnsi="Times New Roman" w:eastAsia="Times New Roman" w:cs="Times New Roman"/>
          <w:spacing w:val="-1"/>
        </w:rPr>
        <w:t>90 </w:t>
      </w:r>
      <w:r>
        <w:rPr>
          <w:spacing w:val="-1"/>
        </w:rPr>
        <w:t>年代以来的国际金融危机</w:t>
      </w:r>
    </w:p>
    <w:p>
      <w:pPr>
        <w:spacing w:line="219" w:lineRule="auto"/>
        <w:sectPr>
          <w:footerReference w:type="default" r:id="rId2"/>
          <w:pgSz w:w="11907" w:h="16839"/>
          <w:pgMar w:top="1428" w:right="1785" w:bottom="1153" w:left="1785" w:header="0" w:footer="993" w:gutter="0"/>
        </w:sectPr>
        <w:rPr/>
      </w:pPr>
    </w:p>
    <w:p>
      <w:pPr>
        <w:pStyle w:val="BodyText"/>
        <w:ind w:left="863" w:right="3280"/>
        <w:spacing w:before="47" w:line="286" w:lineRule="auto"/>
        <w:rPr/>
      </w:pPr>
      <w:r>
        <w:rPr>
          <w:spacing w:val="-3"/>
        </w:rPr>
        <w:t>第二节</w:t>
      </w:r>
      <w:r>
        <w:rPr>
          <w:spacing w:val="40"/>
        </w:rPr>
        <w:t xml:space="preserve"> </w:t>
      </w:r>
      <w:r>
        <w:rPr>
          <w:spacing w:val="-3"/>
        </w:rPr>
        <w:t>国际金融危机背景下的商务环境</w:t>
      </w:r>
      <w:r>
        <w:rPr/>
        <w:t xml:space="preserve"> </w:t>
      </w:r>
      <w:r>
        <w:rPr>
          <w:spacing w:val="-5"/>
        </w:rPr>
        <w:t>第三节</w:t>
      </w:r>
      <w:r>
        <w:rPr>
          <w:spacing w:val="40"/>
        </w:rPr>
        <w:t xml:space="preserve"> </w:t>
      </w:r>
      <w:r>
        <w:rPr>
          <w:spacing w:val="-5"/>
        </w:rPr>
        <w:t>国际金融创新</w:t>
      </w:r>
    </w:p>
    <w:p>
      <w:pPr>
        <w:pStyle w:val="BodyText"/>
        <w:ind w:left="863"/>
        <w:spacing w:before="33" w:line="220" w:lineRule="auto"/>
        <w:rPr/>
      </w:pPr>
      <w:r>
        <w:rPr>
          <w:spacing w:val="-4"/>
        </w:rPr>
        <w:t>第四节</w:t>
      </w:r>
      <w:r>
        <w:rPr>
          <w:spacing w:val="37"/>
        </w:rPr>
        <w:t xml:space="preserve"> </w:t>
      </w:r>
      <w:r>
        <w:rPr>
          <w:spacing w:val="-4"/>
        </w:rPr>
        <w:t>国际金融体系改革</w:t>
      </w:r>
    </w:p>
    <w:p>
      <w:pPr>
        <w:ind w:left="30"/>
        <w:spacing w:before="103" w:line="218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五、初试参考书目</w:t>
      </w:r>
    </w:p>
    <w:p>
      <w:pPr>
        <w:pStyle w:val="BodyText"/>
        <w:ind w:left="454"/>
        <w:spacing w:before="104" w:line="220" w:lineRule="auto"/>
        <w:rPr>
          <w:rFonts w:ascii="Times New Roman" w:hAnsi="Times New Roman" w:eastAsia="Times New Roman" w:cs="Times New Roman"/>
        </w:rPr>
      </w:pPr>
      <w:r>
        <w:rPr>
          <w:position w:val="4"/>
        </w:rPr>
        <w:drawing>
          <wp:inline distT="0" distB="0" distL="0" distR="0">
            <wp:extent cx="56997" cy="8625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7" cy="8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</w:rPr>
        <w:t xml:space="preserve">  </w:t>
      </w:r>
      <w:r>
        <w:rPr>
          <w:spacing w:val="-2"/>
        </w:rPr>
        <w:t>李坤望、张兵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"/>
        </w:rPr>
        <w:t>国际经济学</w:t>
      </w:r>
      <w:r>
        <w:rPr>
          <w:rFonts w:ascii="Times New Roman" w:hAnsi="Times New Roman" w:eastAsia="Times New Roman" w:cs="Times New Roman"/>
          <w:spacing w:val="-2"/>
        </w:rPr>
        <w:t>.  </w:t>
      </w:r>
      <w:r>
        <w:rPr>
          <w:spacing w:val="-2"/>
        </w:rPr>
        <w:t>高等教育出版社</w:t>
      </w:r>
      <w:r>
        <w:rPr>
          <w:rFonts w:ascii="Times New Roman" w:hAnsi="Times New Roman" w:eastAsia="Times New Roman" w:cs="Times New Roman"/>
          <w:spacing w:val="-2"/>
        </w:rPr>
        <w:t>.</w:t>
      </w:r>
    </w:p>
    <w:p>
      <w:pPr>
        <w:pStyle w:val="BodyText"/>
        <w:ind w:left="31" w:right="2679" w:firstLine="423"/>
        <w:spacing w:before="105" w:line="259" w:lineRule="auto"/>
        <w:rPr>
          <w:rFonts w:ascii="SimHei" w:hAnsi="SimHei" w:eastAsia="SimHei" w:cs="SimHei"/>
        </w:rPr>
      </w:pPr>
      <w:r>
        <w:rPr>
          <w:position w:val="4"/>
        </w:rPr>
        <w:drawing>
          <wp:inline distT="0" distB="0" distL="0" distR="0">
            <wp:extent cx="56997" cy="8625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7" cy="8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</w:rPr>
        <w:t xml:space="preserve">  </w:t>
      </w:r>
      <w:r>
        <w:rPr>
          <w:spacing w:val="-4"/>
        </w:rPr>
        <w:t>查尔斯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spacing w:val="-4"/>
        </w:rPr>
        <w:t>希尔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4"/>
        </w:rPr>
        <w:t>国际商务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4"/>
        </w:rPr>
        <w:t>中国人民大学出版社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SimHei" w:hAnsi="SimHei" w:eastAsia="SimHei" w:cs="SimHei"/>
          <w:spacing w:val="-3"/>
        </w:rPr>
        <w:t>六、复试范围</w:t>
      </w:r>
    </w:p>
    <w:p>
      <w:pPr>
        <w:pStyle w:val="BodyText"/>
        <w:ind w:left="40" w:right="14" w:firstLine="486"/>
        <w:spacing w:before="104" w:line="286" w:lineRule="auto"/>
        <w:rPr/>
      </w:pPr>
      <w:r>
        <w:rPr>
          <w:spacing w:val="-4"/>
        </w:rPr>
        <w:t>国际贸易理论与政策、国际直接投资、国际金融、跨国公司理论与实务、国</w:t>
      </w:r>
      <w:r>
        <w:rPr>
          <w:spacing w:val="3"/>
        </w:rPr>
        <w:t xml:space="preserve"> </w:t>
      </w:r>
      <w:r>
        <w:rPr>
          <w:spacing w:val="-5"/>
        </w:rPr>
        <w:t>际贸易实务</w:t>
      </w:r>
    </w:p>
    <w:sectPr>
      <w:footerReference w:type="default" r:id="rId3"/>
      <w:pgSz w:w="11907" w:h="16839"/>
      <w:pgMar w:top="1428" w:right="1785" w:bottom="1153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2011年专业学位研究生入学统一考试</dc:title>
  <dc:creator>山东大学研究生招生办公室;dell</dc:creator>
  <cp:keywords>2011年硕士研究生入学考试考试大纲</cp:keywords>
  <dcterms:created xsi:type="dcterms:W3CDTF">2022-09-16T09:22:59Z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2024-10-14T10:39:25</vt:filetime>
  </property>
</Properties>
</file>