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6DC170">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黑体" w:eastAsia="黑体"/>
          <w:b/>
          <w:bCs w:val="0"/>
          <w:sz w:val="30"/>
          <w:szCs w:val="30"/>
          <w:lang w:val="en-US" w:eastAsia="zh-CN"/>
        </w:rPr>
      </w:pPr>
      <w:bookmarkStart w:id="0" w:name="_GoBack"/>
      <w:bookmarkEnd w:id="0"/>
      <w:r>
        <w:rPr>
          <w:rFonts w:hint="eastAsia" w:ascii="黑体" w:eastAsia="黑体"/>
          <w:b/>
          <w:bCs w:val="0"/>
          <w:sz w:val="30"/>
          <w:szCs w:val="30"/>
          <w:lang w:val="en-US" w:eastAsia="zh-CN"/>
        </w:rPr>
        <w:t>山东建筑大学</w:t>
      </w:r>
    </w:p>
    <w:p w14:paraId="140FA6F1">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黑体" w:eastAsia="黑体"/>
          <w:b/>
          <w:bCs w:val="0"/>
          <w:sz w:val="30"/>
          <w:szCs w:val="30"/>
        </w:rPr>
      </w:pPr>
      <w:r>
        <w:rPr>
          <w:rFonts w:hint="eastAsia" w:ascii="黑体" w:eastAsia="黑体"/>
          <w:b/>
          <w:bCs w:val="0"/>
          <w:sz w:val="30"/>
          <w:szCs w:val="30"/>
          <w:lang w:val="en-US" w:eastAsia="zh-CN"/>
        </w:rPr>
        <w:t>2025年研究生入学考试</w:t>
      </w:r>
      <w:r>
        <w:rPr>
          <w:rFonts w:hint="eastAsia" w:ascii="黑体" w:eastAsia="黑体"/>
          <w:b/>
          <w:bCs w:val="0"/>
          <w:sz w:val="30"/>
          <w:szCs w:val="30"/>
        </w:rPr>
        <w:t>《中级财务会计》考试大纲</w:t>
      </w:r>
    </w:p>
    <w:p w14:paraId="415BAE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p>
    <w:p w14:paraId="32D4D11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一、</w:t>
      </w:r>
      <w:r>
        <w:rPr>
          <w:rFonts w:hint="eastAsia" w:ascii="宋体" w:hAnsi="宋体" w:eastAsia="宋体" w:cs="Times New Roman"/>
          <w:b/>
          <w:bCs/>
          <w:sz w:val="24"/>
        </w:rPr>
        <w:t>基本内容</w:t>
      </w:r>
    </w:p>
    <w:p w14:paraId="499F87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1.总论：认识财务会计的基本概念和基本理论；掌握财务会计的目标、财务会计的基本前提、会计信息的质量要求、会计要素及其确认与计量。</w:t>
      </w:r>
    </w:p>
    <w:p w14:paraId="100A05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2.货币资金：认识库存现金、银行存款、其他货币资金的内容；了解库存现金、银行存款、其他货币资金的管理；掌握库存现金、银行存款、其他货币资金的核算。</w:t>
      </w:r>
    </w:p>
    <w:p w14:paraId="443BBE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3.应收及预付款项：了解各种应收及预付款项的内容；认识各种应收及预付款项的管理；掌握应收票据、应收账款、预付账款、其他应收款的核算。</w:t>
      </w:r>
    </w:p>
    <w:p w14:paraId="44417E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4.存货：掌握存货入账价值的核算；了解原材料的实际成本法和计划成本法的核算；掌握存货的清查和存货期末计价的核算。</w:t>
      </w:r>
    </w:p>
    <w:p w14:paraId="38A170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5.投资：掌握投资、金融资产、长期股权投资的概念与分类；掌握交易性金融资产、债权投资、其他金融工具投资取得的核算、确认投资收益的票面利率法和折（溢）价等的核算；了解长期股权投资成本的确认；掌握长期股权投资核算的成本法、权益法。</w:t>
      </w:r>
    </w:p>
    <w:p w14:paraId="58D013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6.固定资产：了解固定资产初始计量的核算、固定资产后续支出的核算、固定资产期末计量的核算、固定资产盘盈和盘亏的核算；掌握固定资产折旧的范围及其核算、固定资产处置的核算。</w:t>
      </w:r>
    </w:p>
    <w:p w14:paraId="161AA5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7.无形资产及其他资产：了解无形资产的内容；认识其他资产的内容；掌握无形资产初始计量的核算、无形资产摊销的核算、 无形资产报废和处置的核算等。</w:t>
      </w:r>
    </w:p>
    <w:p w14:paraId="59404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8.投资性房地产：了解投资性房地产的确认、初始计量；掌握采用成本模式计量和采用公允价值模式计量的投资性房地产的核算。</w:t>
      </w:r>
    </w:p>
    <w:p w14:paraId="5A148A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9.资产减值：了解资产可回收金额的概念、内容；掌握资产可回收金额的计量、资产减值损失的核算。</w:t>
      </w:r>
    </w:p>
    <w:p w14:paraId="4F7004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10.流动负债：了解短期借款、应付票据、应付账款、应付职工薪酬、应交税费、其他应付款及预收账款等流动负债的内容；掌握企业应付票据、应付账款、应交税费、应付职工薪酬、预收账款等主要流动负债的核算方法。</w:t>
      </w:r>
    </w:p>
    <w:p w14:paraId="37BD59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11.非流动负债：了解长期借款的核算；掌握应付债券的核算；认识借款费用的概念及确认原则；掌握借款费用资本化的核算方法；了解长期应付款的核算。</w:t>
      </w:r>
    </w:p>
    <w:p w14:paraId="0EE259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12.所有者权益：了解所有者权益的内容；掌握其他权益工具、资本公积、其他综合收益的核算；掌握留存收益的组成、用途及核算。</w:t>
      </w:r>
    </w:p>
    <w:p w14:paraId="648379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13.收入、费用和利润：了解收入的确认和计量；了解销售成本、销售税金及附加的核算；掌握期间费用的分类及核算；掌握投资收益和营业外收支的核算；掌握利润及其分配的核算。</w:t>
      </w:r>
    </w:p>
    <w:p w14:paraId="53FDF6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14.财务会计报告：了解资产负债表、利润表、现金流量表和所有者权益变动表的内容、格式；掌握资产负债表、利润表、现金流量表和所有者权益变动表的编制方法；认识财务报表附表和附注。</w:t>
      </w:r>
    </w:p>
    <w:p w14:paraId="696849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15.会计调整：了解会计政策的类型及变更的处理方法；了解会计估计的含义及会计估计变更的会计处理；了解前期差错及其更正方法；了解资产负债表日后事项及调整事项的调整方法。</w:t>
      </w:r>
    </w:p>
    <w:p w14:paraId="6D9E018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Times New Roman"/>
          <w:b/>
          <w:bCs/>
          <w:sz w:val="24"/>
        </w:rPr>
      </w:pPr>
      <w:r>
        <w:rPr>
          <w:rFonts w:hint="eastAsia" w:ascii="宋体" w:hAnsi="宋体" w:eastAsia="宋体" w:cs="Times New Roman"/>
          <w:b/>
          <w:bCs/>
          <w:sz w:val="24"/>
        </w:rPr>
        <w:t xml:space="preserve">二、参考书目： </w:t>
      </w:r>
    </w:p>
    <w:p w14:paraId="769B26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1.指定教材：张勤谋、王义华主编，宋平主审，《中级财务会计》，武汉理工大学出版社，2020年5月。</w:t>
      </w:r>
    </w:p>
    <w:p w14:paraId="426509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r>
        <w:rPr>
          <w:rFonts w:hint="eastAsia" w:ascii="宋体" w:hAnsi="宋体" w:eastAsia="宋体" w:cs="Times New Roman"/>
          <w:sz w:val="24"/>
        </w:rPr>
        <w:t>2.参考书：中国注册会计师协会组织编写，《2024年注册会计师全国统一考试辅导教材——会计》，中国财政经济出版社，2024年3月。</w:t>
      </w:r>
    </w:p>
    <w:p w14:paraId="3DE7C3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Times New Roman"/>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222F">
    <w:pPr>
      <w:pStyle w:val="7"/>
      <w:jc w:val="left"/>
    </w:pPr>
    <w:r>
      <w:rPr>
        <w:rFonts w:hint="eastAsia"/>
      </w:rPr>
      <w:t xml:space="preserve">《中级财务会计》·考试大纲                                                 山东建筑大学商学院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172A27"/>
    <w:rsid w:val="00046791"/>
    <w:rsid w:val="001C1D37"/>
    <w:rsid w:val="00204981"/>
    <w:rsid w:val="002875E1"/>
    <w:rsid w:val="002A06D2"/>
    <w:rsid w:val="00353A14"/>
    <w:rsid w:val="003D6F57"/>
    <w:rsid w:val="004D3453"/>
    <w:rsid w:val="005041A6"/>
    <w:rsid w:val="005365BB"/>
    <w:rsid w:val="00543CE5"/>
    <w:rsid w:val="00576F10"/>
    <w:rsid w:val="005A7F55"/>
    <w:rsid w:val="00601990"/>
    <w:rsid w:val="00613670"/>
    <w:rsid w:val="007613AF"/>
    <w:rsid w:val="007C1262"/>
    <w:rsid w:val="00832CF2"/>
    <w:rsid w:val="008F5DDB"/>
    <w:rsid w:val="00961482"/>
    <w:rsid w:val="009701CA"/>
    <w:rsid w:val="00A1289D"/>
    <w:rsid w:val="00B07A3A"/>
    <w:rsid w:val="00C244AF"/>
    <w:rsid w:val="00C47666"/>
    <w:rsid w:val="00E31699"/>
    <w:rsid w:val="00E82C1E"/>
    <w:rsid w:val="00EC07F0"/>
    <w:rsid w:val="00EE4A9C"/>
    <w:rsid w:val="00F13DB6"/>
    <w:rsid w:val="00F52DA6"/>
    <w:rsid w:val="00F5478B"/>
    <w:rsid w:val="00F6043E"/>
    <w:rsid w:val="06C925A7"/>
    <w:rsid w:val="0B230CDF"/>
    <w:rsid w:val="1BEE74AC"/>
    <w:rsid w:val="2374295A"/>
    <w:rsid w:val="31172428"/>
    <w:rsid w:val="67801875"/>
    <w:rsid w:val="7BB37E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qFormat/>
    <w:uiPriority w:val="0"/>
    <w:pPr>
      <w:widowControl/>
      <w:spacing w:before="100" w:beforeLines="0" w:beforeAutospacing="1" w:after="100" w:afterLines="0" w:afterAutospacing="1"/>
      <w:jc w:val="left"/>
      <w:outlineLvl w:val="1"/>
    </w:pPr>
    <w:rPr>
      <w:rFonts w:ascii="宋体" w:hAnsi="宋体" w:cs="宋体"/>
      <w:b/>
      <w:bCs/>
      <w:kern w:val="0"/>
      <w:sz w:val="36"/>
      <w:szCs w:val="36"/>
    </w:rPr>
  </w:style>
  <w:style w:type="paragraph" w:styleId="4">
    <w:name w:val="heading 3"/>
    <w:basedOn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0">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1">
    <w:name w:val="Strong"/>
    <w:basedOn w:val="10"/>
    <w:qFormat/>
    <w:uiPriority w:val="0"/>
    <w:rPr>
      <w:b/>
      <w:bCs/>
    </w:rPr>
  </w:style>
  <w:style w:type="paragraph" w:customStyle="1" w:styleId="12">
    <w:name w:val="正文 New"/>
    <w:uiPriority w:val="0"/>
    <w:pPr>
      <w:widowControl w:val="0"/>
      <w:jc w:val="both"/>
    </w:pPr>
    <w:rPr>
      <w:kern w:val="2"/>
      <w:sz w:val="21"/>
      <w:szCs w:val="24"/>
      <w:lang w:val="en-US" w:eastAsia="zh-CN" w:bidi="ar-SA"/>
    </w:rPr>
  </w:style>
  <w:style w:type="paragraph" w:customStyle="1" w:styleId="13">
    <w:name w:val="正文 New New"/>
    <w:uiPriority w:val="0"/>
    <w:pPr>
      <w:widowControl w:val="0"/>
      <w:jc w:val="both"/>
    </w:pPr>
    <w:rPr>
      <w:kern w:val="2"/>
      <w:sz w:val="21"/>
      <w:szCs w:val="24"/>
      <w:lang w:val="en-US" w:eastAsia="zh-CN" w:bidi="ar-SA"/>
    </w:rPr>
  </w:style>
  <w:style w:type="paragraph" w:customStyle="1" w:styleId="14">
    <w:name w:val="样式6"/>
    <w:basedOn w:val="1"/>
    <w:uiPriority w:val="0"/>
    <w:rPr>
      <w:rFonts w:ascii="Arial" w:hAnsi="Arial"/>
      <w:bCs/>
      <w:color w:val="000000"/>
      <w:kern w:val="0"/>
      <w:sz w:val="24"/>
      <w:szCs w:val="32"/>
    </w:rPr>
  </w:style>
  <w:style w:type="character" w:customStyle="1" w:styleId="15">
    <w:name w:val="样式6 Char"/>
    <w:basedOn w:val="10"/>
    <w:uiPriority w:val="0"/>
    <w:rPr>
      <w:rFonts w:ascii="仿宋_GB2312" w:eastAsia="仿宋_GB2312"/>
      <w:b/>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1218</Words>
  <Characters>1250</Characters>
  <Lines>9</Lines>
  <Paragraphs>2</Paragraphs>
  <TotalTime>0</TotalTime>
  <ScaleCrop>false</ScaleCrop>
  <LinksUpToDate>false</LinksUpToDate>
  <CharactersWithSpaces>1252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2023-08-02T06:59:00Z</dcterms:created>
  <dc:creator>liu</dc:creator>
  <cp:lastModifiedBy>vertesyuan</cp:lastModifiedBy>
  <dcterms:modified xsi:type="dcterms:W3CDTF">2024-10-12T10:38:58Z</dcterms:modified>
  <dc:title>山东建筑大学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F3B6BA7AEA9E45C699C7D4BE5B318626_13</vt:lpwstr>
  </property>
</Properties>
</file>