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5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pStyle w:val="BodyText"/>
        <w:ind w:left="1146"/>
        <w:spacing w:before="268" w:line="219" w:lineRule="auto"/>
        <w:rPr/>
      </w:pPr>
      <w:r>
        <w:rPr/>
        <w:t>科目代码：</w:t>
      </w:r>
      <w:r>
        <w:rPr>
          <w:rFonts w:ascii="Times New Roman" w:hAnsi="Times New Roman" w:eastAsia="Times New Roman" w:cs="Times New Roman"/>
        </w:rPr>
        <w:t>848                </w:t>
      </w:r>
      <w:r>
        <w:rPr/>
        <w:t>科</w:t>
      </w:r>
      <w:r>
        <w:rPr>
          <w:spacing w:val="-1"/>
        </w:rPr>
        <w:t>目名称：环境工程学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9" w:lineRule="auto"/>
        <w:outlineLvl w:val="0"/>
        <w:rPr/>
      </w:pPr>
      <w:r>
        <w:rPr>
          <w:b/>
          <w:bCs/>
          <w:spacing w:val="-5"/>
        </w:rPr>
        <w:t>一、基本要求与考核目标</w:t>
      </w:r>
    </w:p>
    <w:p>
      <w:pPr>
        <w:pStyle w:val="BodyText"/>
        <w:ind w:left="25" w:right="99" w:firstLine="560"/>
        <w:spacing w:before="293" w:line="402" w:lineRule="auto"/>
        <w:jc w:val="both"/>
        <w:rPr/>
      </w:pPr>
      <w:r>
        <w:rPr>
          <w:spacing w:val="-4"/>
        </w:rPr>
        <w:t>要求考生客观认识人类发展与生态环境的关系，较系统理解环境</w:t>
      </w:r>
      <w:r>
        <w:rPr>
          <w:spacing w:val="5"/>
        </w:rPr>
        <w:t xml:space="preserve"> </w:t>
      </w:r>
      <w:r>
        <w:rPr>
          <w:spacing w:val="-4"/>
        </w:rPr>
        <w:t>介质中污染物的分布、迁移和转化规律，掌握污染控制与修复的工程</w:t>
      </w:r>
      <w:r>
        <w:rPr>
          <w:spacing w:val="15"/>
        </w:rPr>
        <w:t xml:space="preserve"> </w:t>
      </w:r>
      <w:r>
        <w:rPr>
          <w:spacing w:val="-4"/>
        </w:rPr>
        <w:t>技术基本原理和基本方法。</w:t>
      </w:r>
    </w:p>
    <w:p>
      <w:pPr>
        <w:pStyle w:val="BodyText"/>
        <w:ind w:left="26" w:firstLine="557"/>
        <w:spacing w:before="39" w:line="405" w:lineRule="auto"/>
        <w:jc w:val="both"/>
        <w:rPr/>
      </w:pPr>
      <w:r>
        <w:rPr>
          <w:spacing w:val="-1"/>
        </w:rPr>
        <w:t>考核的主要知识与能力包括</w:t>
      </w:r>
      <w:r>
        <w:rPr>
          <w:spacing w:val="-62"/>
          <w:w w:val="83"/>
        </w:rPr>
        <w:t>：（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）污染物迁移转化规律及我国环</w:t>
      </w:r>
      <w:r>
        <w:rPr>
          <w:spacing w:val="1"/>
        </w:rPr>
        <w:t xml:space="preserve"> </w:t>
      </w:r>
      <w:r>
        <w:rPr>
          <w:spacing w:val="1"/>
        </w:rPr>
        <w:t>境污染的特征</w:t>
      </w:r>
      <w:r>
        <w:rPr>
          <w:spacing w:val="-65"/>
          <w:w w:val="86"/>
        </w:rPr>
        <w:t>；（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）环境污染控制的基本原则和原理</w:t>
      </w:r>
      <w:r>
        <w:rPr>
          <w:spacing w:val="-65"/>
          <w:w w:val="86"/>
        </w:rPr>
        <w:t>；（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）给水工程</w:t>
      </w:r>
      <w:r>
        <w:rPr>
          <w:spacing w:val="7"/>
        </w:rPr>
        <w:t xml:space="preserve"> </w:t>
      </w:r>
      <w:r>
        <w:rPr>
          <w:spacing w:val="-4"/>
        </w:rPr>
        <w:t>和水污染控制工程、大气污染控制工程、固体废物处理的工程技术基</w:t>
      </w:r>
      <w:r>
        <w:rPr>
          <w:spacing w:val="14"/>
        </w:rPr>
        <w:t xml:space="preserve"> </w:t>
      </w:r>
      <w:r>
        <w:rPr>
          <w:spacing w:val="1"/>
        </w:rPr>
        <w:t>本原理和方法</w:t>
      </w:r>
      <w:r>
        <w:rPr>
          <w:spacing w:val="-70"/>
          <w:w w:val="93"/>
        </w:rPr>
        <w:t>；（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）上述工程设施设计和优化的简单分析计算能力。</w:t>
      </w:r>
    </w:p>
    <w:p>
      <w:pPr>
        <w:pStyle w:val="BodyText"/>
        <w:ind w:left="29"/>
        <w:spacing w:before="42" w:line="220" w:lineRule="auto"/>
        <w:outlineLvl w:val="0"/>
        <w:rPr/>
      </w:pPr>
      <w:r>
        <w:rPr>
          <w:b/>
          <w:bCs/>
          <w:spacing w:val="-4"/>
        </w:rPr>
        <w:t>二、主要考核内容</w:t>
      </w:r>
    </w:p>
    <w:p>
      <w:pPr>
        <w:pStyle w:val="BodyText"/>
        <w:ind w:left="47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、环境与可持续发展</w:t>
      </w:r>
    </w:p>
    <w:p>
      <w:pPr>
        <w:pStyle w:val="BodyText"/>
        <w:ind w:left="47" w:right="2851"/>
        <w:spacing w:before="289" w:line="398" w:lineRule="auto"/>
        <w:rPr/>
      </w:pPr>
      <w:r>
        <w:rPr>
          <w:rFonts w:ascii="Times New Roman" w:hAnsi="Times New Roman" w:eastAsia="Times New Roman" w:cs="Times New Roman"/>
          <w:spacing w:val="-2"/>
        </w:rPr>
        <w:t>1-1  </w:t>
      </w:r>
      <w:r>
        <w:rPr>
          <w:spacing w:val="-2"/>
        </w:rPr>
        <w:t>生态系统退化、环境污染与全球环境问题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1-2  </w:t>
      </w:r>
      <w:r>
        <w:rPr>
          <w:spacing w:val="-2"/>
        </w:rPr>
        <w:t>可持续发展的基本理论</w:t>
      </w:r>
    </w:p>
    <w:p>
      <w:pPr>
        <w:pStyle w:val="BodyText"/>
        <w:ind w:left="20" w:right="4532" w:firstLine="26"/>
        <w:spacing w:before="41" w:line="403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1-3  </w:t>
      </w:r>
      <w:r>
        <w:rPr>
          <w:spacing w:val="-2"/>
        </w:rPr>
        <w:t>环境伦理观与人类行为方式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、给水工程与水污染控制工程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2-1  </w:t>
      </w:r>
      <w:r>
        <w:rPr>
          <w:spacing w:val="-1"/>
        </w:rPr>
        <w:t>水质指标与水质标准</w:t>
      </w:r>
    </w:p>
    <w:p>
      <w:pPr>
        <w:pStyle w:val="BodyText"/>
        <w:ind w:left="20" w:right="4251"/>
        <w:spacing w:before="39" w:line="398" w:lineRule="auto"/>
        <w:rPr/>
      </w:pPr>
      <w:r>
        <w:rPr>
          <w:rFonts w:ascii="Times New Roman" w:hAnsi="Times New Roman" w:eastAsia="Times New Roman" w:cs="Times New Roman"/>
          <w:spacing w:val="-1"/>
        </w:rPr>
        <w:t>2-2  </w:t>
      </w:r>
      <w:r>
        <w:rPr>
          <w:spacing w:val="-1"/>
        </w:rPr>
        <w:t>水体的生化自净与水环境容量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2-3  </w:t>
      </w:r>
      <w:r>
        <w:rPr>
          <w:spacing w:val="-1"/>
        </w:rPr>
        <w:t>水处理的基本原则和方法</w:t>
      </w:r>
    </w:p>
    <w:p>
      <w:pPr>
        <w:pStyle w:val="BodyText"/>
        <w:ind w:left="20"/>
        <w:spacing w:before="4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2-4  </w:t>
      </w:r>
      <w:r>
        <w:rPr>
          <w:spacing w:val="-1"/>
        </w:rPr>
        <w:t>水中粗大颗粒物质的去除</w:t>
      </w:r>
    </w:p>
    <w:p>
      <w:pPr>
        <w:pStyle w:val="BodyText"/>
        <w:ind w:left="20"/>
        <w:spacing w:before="29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2-5  </w:t>
      </w:r>
      <w:r>
        <w:rPr>
          <w:spacing w:val="-1"/>
        </w:rPr>
        <w:t>水中悬浮物质和胶体物质的去除</w:t>
      </w:r>
    </w:p>
    <w:p>
      <w:pPr>
        <w:spacing w:line="220" w:lineRule="auto"/>
        <w:sectPr>
          <w:footerReference w:type="default" r:id="rId1"/>
          <w:pgSz w:w="11907" w:h="16839"/>
          <w:pgMar w:top="1431" w:right="1698" w:bottom="1248" w:left="1785" w:header="0" w:footer="997" w:gutter="0"/>
        </w:sectPr>
        <w:rPr/>
      </w:pPr>
    </w:p>
    <w:p>
      <w:pPr>
        <w:pStyle w:val="BodyText"/>
        <w:ind w:left="20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2-6  </w:t>
      </w:r>
      <w:r>
        <w:rPr>
          <w:spacing w:val="-1"/>
        </w:rPr>
        <w:t>水中溶解物质的去除</w:t>
      </w:r>
    </w:p>
    <w:p>
      <w:pPr>
        <w:pStyle w:val="BodyText"/>
        <w:ind w:left="2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2-7  </w:t>
      </w:r>
      <w:r>
        <w:rPr>
          <w:spacing w:val="-1"/>
        </w:rPr>
        <w:t>水中有害微生物的去除</w:t>
      </w:r>
    </w:p>
    <w:p>
      <w:pPr>
        <w:pStyle w:val="BodyText"/>
        <w:ind w:left="20" w:right="3326"/>
        <w:spacing w:before="289" w:line="398" w:lineRule="auto"/>
        <w:rPr/>
      </w:pPr>
      <w:r>
        <w:rPr>
          <w:rFonts w:ascii="Times New Roman" w:hAnsi="Times New Roman" w:eastAsia="Times New Roman" w:cs="Times New Roman"/>
          <w:spacing w:val="-1"/>
        </w:rPr>
        <w:t>2-8  </w:t>
      </w:r>
      <w:r>
        <w:rPr>
          <w:spacing w:val="-1"/>
        </w:rPr>
        <w:t>水处理微生物生长特性与反应动力学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2-9  </w:t>
      </w:r>
      <w:r>
        <w:rPr>
          <w:spacing w:val="-1"/>
        </w:rPr>
        <w:t>好氧附着生长处理技术</w:t>
      </w:r>
    </w:p>
    <w:p>
      <w:pPr>
        <w:pStyle w:val="BodyText"/>
        <w:ind w:left="20" w:right="5426"/>
        <w:spacing w:before="41" w:line="405" w:lineRule="auto"/>
        <w:rPr/>
      </w:pPr>
      <w:r>
        <w:rPr>
          <w:rFonts w:ascii="Times New Roman" w:hAnsi="Times New Roman" w:eastAsia="Times New Roman" w:cs="Times New Roman"/>
          <w:spacing w:val="-1"/>
        </w:rPr>
        <w:t>2-10  </w:t>
      </w:r>
      <w:r>
        <w:rPr>
          <w:spacing w:val="-1"/>
        </w:rPr>
        <w:t>厌氧生物处理技术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2-11  </w:t>
      </w:r>
      <w:r>
        <w:rPr>
          <w:spacing w:val="-2"/>
        </w:rPr>
        <w:t>生物脱氮除磷技术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、大气污染控制工程</w:t>
      </w:r>
      <w:r>
        <w:rPr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3-1  </w:t>
      </w:r>
      <w:r>
        <w:rPr>
          <w:spacing w:val="-1"/>
        </w:rPr>
        <w:t>大气的结构及组成</w:t>
      </w:r>
    </w:p>
    <w:p>
      <w:pPr>
        <w:pStyle w:val="BodyText"/>
        <w:ind w:left="26"/>
        <w:spacing w:before="3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3-2  </w:t>
      </w:r>
      <w:r>
        <w:rPr>
          <w:spacing w:val="-1"/>
        </w:rPr>
        <w:t>大气污染物的种类、来源和发生量</w:t>
      </w:r>
    </w:p>
    <w:p>
      <w:pPr>
        <w:pStyle w:val="BodyText"/>
        <w:ind w:left="26" w:right="3326"/>
        <w:spacing w:before="289" w:line="399" w:lineRule="auto"/>
        <w:rPr/>
      </w:pPr>
      <w:r>
        <w:rPr>
          <w:rFonts w:ascii="Times New Roman" w:hAnsi="Times New Roman" w:eastAsia="Times New Roman" w:cs="Times New Roman"/>
          <w:spacing w:val="-1"/>
        </w:rPr>
        <w:t>3-3  </w:t>
      </w:r>
      <w:r>
        <w:rPr>
          <w:spacing w:val="-1"/>
        </w:rPr>
        <w:t>大气污染气象学与扩散浓度估算模式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3-4  </w:t>
      </w:r>
      <w:r>
        <w:rPr>
          <w:spacing w:val="-1"/>
        </w:rPr>
        <w:t>颗粒污染物控制</w:t>
      </w:r>
    </w:p>
    <w:p>
      <w:pPr>
        <w:pStyle w:val="BodyText"/>
        <w:ind w:left="26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3-5  </w:t>
      </w:r>
      <w:r>
        <w:rPr>
          <w:spacing w:val="-1"/>
        </w:rPr>
        <w:t>气态污染物控制</w:t>
      </w:r>
    </w:p>
    <w:p>
      <w:pPr>
        <w:pStyle w:val="BodyText"/>
        <w:ind w:left="19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、固体废物处理与处置工程</w:t>
      </w:r>
    </w:p>
    <w:p>
      <w:pPr>
        <w:pStyle w:val="BodyText"/>
        <w:ind w:left="19" w:right="4163"/>
        <w:spacing w:before="290" w:line="398" w:lineRule="auto"/>
        <w:rPr/>
      </w:pPr>
      <w:r>
        <w:rPr>
          <w:rFonts w:ascii="Times New Roman" w:hAnsi="Times New Roman" w:eastAsia="Times New Roman" w:cs="Times New Roman"/>
          <w:spacing w:val="-3"/>
        </w:rPr>
        <w:t>4-1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-3"/>
        </w:rPr>
        <w:t>固体废物管理系统与管理原则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4-2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4"/>
        </w:rPr>
        <w:t>固体废物的性质</w:t>
      </w:r>
    </w:p>
    <w:p>
      <w:pPr>
        <w:pStyle w:val="BodyText"/>
        <w:ind w:left="19" w:right="4163"/>
        <w:spacing w:before="39" w:line="399" w:lineRule="auto"/>
        <w:rPr/>
      </w:pPr>
      <w:r>
        <w:rPr>
          <w:rFonts w:ascii="Times New Roman" w:hAnsi="Times New Roman" w:eastAsia="Times New Roman" w:cs="Times New Roman"/>
          <w:spacing w:val="-3"/>
        </w:rPr>
        <w:t>4-3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-3"/>
        </w:rPr>
        <w:t>固体废物的产生、分类与收运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4-4  </w:t>
      </w:r>
      <w:r>
        <w:rPr>
          <w:spacing w:val="-1"/>
        </w:rPr>
        <w:t>危险废物的化学处理与固化</w:t>
      </w:r>
    </w:p>
    <w:p>
      <w:pPr>
        <w:pStyle w:val="BodyText"/>
        <w:ind w:left="19"/>
        <w:spacing w:before="4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4-5  </w:t>
      </w:r>
      <w:r>
        <w:rPr>
          <w:spacing w:val="-1"/>
        </w:rPr>
        <w:t>通用处理技术：填埋、焚烧与堆肥</w:t>
      </w:r>
    </w:p>
    <w:p>
      <w:pPr>
        <w:pStyle w:val="BodyText"/>
        <w:ind w:left="25"/>
        <w:spacing w:before="292" w:line="219" w:lineRule="auto"/>
        <w:outlineLvl w:val="0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ind w:left="38"/>
        <w:spacing w:before="291" w:line="220" w:lineRule="auto"/>
        <w:rPr/>
      </w:pPr>
      <w:r>
        <w:rPr/>
        <w:drawing>
          <wp:inline distT="0" distB="0" distL="0" distR="0">
            <wp:extent cx="126598" cy="13087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598" cy="1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</w:rPr>
        <w:t xml:space="preserve"> </w:t>
      </w:r>
      <w:r>
        <w:rPr>
          <w:spacing w:val="-10"/>
        </w:rPr>
        <w:t>钱易、唐孝炎，环境保护与可持续发展，北京：高等教育出版社，</w:t>
      </w:r>
    </w:p>
    <w:p>
      <w:pPr>
        <w:pStyle w:val="BodyText"/>
        <w:ind w:left="445"/>
        <w:spacing w:before="290" w:line="220" w:lineRule="auto"/>
        <w:rPr/>
      </w:pPr>
      <w:r>
        <w:rPr>
          <w:spacing w:val="-14"/>
        </w:rPr>
        <w:t>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2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4"/>
        </w:rPr>
        <w:t>版；</w:t>
      </w:r>
    </w:p>
    <w:p>
      <w:pPr>
        <w:pStyle w:val="BodyText"/>
        <w:ind w:left="38"/>
        <w:spacing w:before="291" w:line="220" w:lineRule="auto"/>
        <w:rPr/>
      </w:pPr>
      <w:r>
        <w:rPr/>
        <w:drawing>
          <wp:inline distT="0" distB="0" distL="0" distR="0">
            <wp:extent cx="126598" cy="13087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598" cy="1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</w:rPr>
        <w:t xml:space="preserve"> </w:t>
      </w:r>
      <w:r>
        <w:rPr>
          <w:spacing w:val="-9"/>
        </w:rPr>
        <w:t>蒋展鹏、杨宏伟，环境工程学，北京：高等教育出版社，第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 </w:t>
      </w:r>
      <w:r>
        <w:rPr>
          <w:spacing w:val="-9"/>
        </w:rPr>
        <w:t>版。</w:t>
      </w:r>
    </w:p>
    <w:p>
      <w:pPr>
        <w:spacing w:line="220" w:lineRule="auto"/>
        <w:sectPr>
          <w:footerReference w:type="default" r:id="rId2"/>
          <w:pgSz w:w="11907" w:h="16839"/>
          <w:pgMar w:top="1431" w:right="1785" w:bottom="1248" w:left="1785" w:header="0" w:footer="997" w:gutter="0"/>
        </w:sectPr>
        <w:rPr/>
      </w:pPr>
    </w:p>
    <w:p>
      <w:pPr>
        <w:pStyle w:val="BodyText"/>
        <w:ind w:left="51"/>
        <w:spacing w:before="180" w:line="221" w:lineRule="auto"/>
        <w:outlineLvl w:val="0"/>
        <w:rPr/>
      </w:pPr>
      <w:r>
        <w:rPr>
          <w:b/>
          <w:bCs/>
          <w:spacing w:val="-8"/>
        </w:rPr>
        <w:t>四、其他规定</w:t>
      </w:r>
    </w:p>
    <w:p>
      <w:pPr>
        <w:pStyle w:val="BodyText"/>
        <w:ind w:left="27" w:right="12" w:firstLine="584"/>
        <w:spacing w:before="289" w:line="398" w:lineRule="auto"/>
        <w:rPr/>
      </w:pPr>
      <w:r>
        <w:rPr>
          <w:spacing w:val="-14"/>
        </w:rPr>
        <w:t>闭卷考试，主要题型可包括选择、简答、论述（含案例</w:t>
      </w:r>
      <w:r>
        <w:rPr>
          <w:spacing w:val="-15"/>
        </w:rPr>
        <w:t>分析）、计</w:t>
      </w:r>
      <w:r>
        <w:rPr/>
        <w:t xml:space="preserve"> </w:t>
      </w:r>
      <w:r>
        <w:rPr>
          <w:spacing w:val="-7"/>
        </w:rPr>
        <w:t>算等。满分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 </w:t>
      </w:r>
      <w:r>
        <w:rPr>
          <w:spacing w:val="-7"/>
        </w:rPr>
        <w:t>分，考试时间 </w:t>
      </w:r>
      <w:r>
        <w:rPr>
          <w:rFonts w:ascii="Times New Roman" w:hAnsi="Times New Roman" w:eastAsia="Times New Roman" w:cs="Times New Roman"/>
          <w:spacing w:val="-7"/>
        </w:rPr>
        <w:t>180 </w:t>
      </w:r>
      <w:r>
        <w:rPr>
          <w:spacing w:val="-7"/>
        </w:rPr>
        <w:t>分钟。</w:t>
      </w:r>
    </w:p>
    <w:p>
      <w:pPr>
        <w:spacing w:line="398" w:lineRule="auto"/>
        <w:sectPr>
          <w:footerReference w:type="default" r:id="rId5"/>
          <w:pgSz w:w="11907" w:h="16839"/>
          <w:pgMar w:top="1431" w:right="1785" w:bottom="1248" w:left="1785" w:header="0" w:footer="998" w:gutter="0"/>
        </w:sectPr>
        <w:rPr/>
      </w:pPr>
    </w:p>
    <w:p>
      <w:pPr>
        <w:rPr>
          <w:rFonts w:ascii="Arial"/>
          <w:sz w:val="21"/>
        </w:rPr>
      </w:pPr>
      <w:r/>
    </w:p>
    <w:sectPr>
      <w:headerReference w:type="default" r:id="rId6"/>
      <w:footerReference w:type="default" r:id="rId7"/>
      <w:pgSz w:w="11907" w:h="16839"/>
      <w:pgMar w:top="1" w:right="1785" w:bottom="1248" w:left="178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Tan</dc:creator>
  <dcterms:created xsi:type="dcterms:W3CDTF">2022-07-05T18:22:32Z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2024-10-14T10:39:43</vt:filetime>
  </property>
</Properties>
</file>