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234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0"/>
          <w:position w:val="-1"/>
        </w:rPr>
        <w:t>726</w:t>
      </w:r>
      <w:r>
        <w:rPr>
          <w:rFonts w:ascii="Arial" w:hAnsi="Arial" w:eastAsia="Arial" w:cs="Arial"/>
          <w:sz w:val="34"/>
          <w:szCs w:val="34"/>
          <w:spacing w:val="7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0"/>
          <w:position w:val="-1"/>
        </w:rPr>
        <w:t>文物学基础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4"/>
        <w:spacing w:before="144" w:line="311" w:lineRule="auto"/>
        <w:rPr/>
      </w:pPr>
      <w:r>
        <w:rPr>
          <w:spacing w:val="1"/>
        </w:rPr>
        <w:t>《文物学基础》考试系文物硕士研究生入学考试科目之一，是教育部</w:t>
      </w:r>
      <w:r>
        <w:rPr>
          <w:spacing w:val="6"/>
        </w:rPr>
        <w:t xml:space="preserve"> </w:t>
      </w:r>
      <w:r>
        <w:rPr>
          <w:spacing w:val="1"/>
        </w:rPr>
        <w:t>授权的各文物硕士培养院校自行命题的选拔性考试。《文物学基础》考试</w:t>
      </w:r>
      <w:r>
        <w:rPr>
          <w:spacing w:val="6"/>
        </w:rPr>
        <w:t xml:space="preserve"> </w:t>
      </w:r>
      <w:r>
        <w:rPr>
          <w:spacing w:val="1"/>
        </w:rPr>
        <w:t>目标是考查考生对文物学基础理论知识和与文物研究、保护、管理、利用</w:t>
      </w:r>
      <w:r>
        <w:rPr>
          <w:spacing w:val="6"/>
        </w:rPr>
        <w:t xml:space="preserve"> </w:t>
      </w:r>
      <w:r>
        <w:rPr>
          <w:spacing w:val="1"/>
        </w:rPr>
        <w:t>相关的基础知识的掌握情况，是否具备攻读文物硕士的基本素质、一般能</w:t>
      </w:r>
      <w:r>
        <w:rPr>
          <w:spacing w:val="6"/>
        </w:rPr>
        <w:t xml:space="preserve"> </w:t>
      </w:r>
      <w:r>
        <w:rPr>
          <w:spacing w:val="-2"/>
        </w:rPr>
        <w:t>力和培养潜能。</w:t>
      </w:r>
    </w:p>
    <w:p>
      <w:pPr>
        <w:ind w:left="567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70"/>
        <w:spacing w:before="144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文物与文物研究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）文物与文物学概念</w:t>
      </w:r>
    </w:p>
    <w:p>
      <w:pPr>
        <w:pStyle w:val="BodyText"/>
        <w:ind w:left="570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）文物与文物学的研究领域及与相关学科的关系</w:t>
      </w:r>
    </w:p>
    <w:p>
      <w:pPr>
        <w:pStyle w:val="BodyText"/>
        <w:ind w:left="570"/>
        <w:spacing w:before="14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）文物的价值、性质</w:t>
      </w:r>
    </w:p>
    <w:p>
      <w:pPr>
        <w:pStyle w:val="BodyText"/>
        <w:ind w:left="570"/>
        <w:spacing w:before="147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）文物研究简史</w:t>
      </w:r>
    </w:p>
    <w:p>
      <w:pPr>
        <w:pStyle w:val="BodyText"/>
        <w:ind w:left="570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）文物学的发展简史。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）文物学研究的理论与方法。</w:t>
      </w:r>
    </w:p>
    <w:p>
      <w:pPr>
        <w:pStyle w:val="BodyText"/>
        <w:ind w:left="558"/>
        <w:spacing w:before="146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文物保护、管理与合理利用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）文物分类、定名、分级与鉴定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）文物保护管理的法律法规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）文物的调查、征集、管理与保护等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）考古发掘现场保护、考古遗址的保护与利用</w:t>
      </w:r>
    </w:p>
    <w:p>
      <w:pPr>
        <w:pStyle w:val="BodyText"/>
        <w:ind w:left="570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）文物修复保护与现代科技</w:t>
      </w:r>
    </w:p>
    <w:p>
      <w:pPr>
        <w:pStyle w:val="BodyText"/>
        <w:ind w:left="570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）文物的现代科技断代的主要方法。</w:t>
      </w:r>
    </w:p>
    <w:p>
      <w:pPr>
        <w:pStyle w:val="BodyText"/>
        <w:ind w:left="570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）文物材质和结构常用的现代分析方法。</w:t>
      </w:r>
    </w:p>
    <w:p>
      <w:pPr>
        <w:pStyle w:val="BodyText"/>
        <w:ind w:left="570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）博物馆、遗址博物馆、考古博物馆与文物保护、文物的展陈。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）文物的数学化与信息化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）《中华人民共和国文物保护法》。</w:t>
      </w:r>
    </w:p>
    <w:p>
      <w:pPr>
        <w:spacing w:line="221" w:lineRule="auto"/>
        <w:sectPr>
          <w:footerReference w:type="default" r:id="rId1"/>
          <w:pgSz w:w="12070" w:h="16950"/>
          <w:pgMar w:top="1440" w:right="1471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spacing w:val="-2"/>
        </w:rPr>
        <w:t>）国际通用的文物保护和修复的原则。</w:t>
      </w:r>
    </w:p>
    <w:p>
      <w:pPr>
        <w:pStyle w:val="BodyText"/>
        <w:spacing w:before="144" w:line="221" w:lineRule="auto"/>
        <w:jc w:val="right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spacing w:val="-5"/>
        </w:rPr>
        <w:t>）运用文物保护学的相关知识来分析和解决一些保护的现实问题。</w:t>
      </w:r>
    </w:p>
    <w:p>
      <w:pPr>
        <w:pStyle w:val="BodyText"/>
        <w:ind w:left="341"/>
        <w:spacing w:before="145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b/>
          <w:bCs/>
          <w:spacing w:val="-3"/>
        </w:rPr>
        <w:t>文物的分类研究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）陶、瓷器的概念、种类及时代特征。</w:t>
      </w:r>
    </w:p>
    <w:p>
      <w:pPr>
        <w:pStyle w:val="BodyText"/>
        <w:ind w:left="356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）青铜器概念、种类、功能及时代特征。</w:t>
      </w:r>
    </w:p>
    <w:p>
      <w:pPr>
        <w:pStyle w:val="BodyText"/>
        <w:ind w:left="356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）玉器概念、种类、功能及时代特征。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）出土文献的相关概念及重要发现</w:t>
      </w:r>
    </w:p>
    <w:p>
      <w:pPr>
        <w:pStyle w:val="BodyText"/>
        <w:ind w:left="356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）古遗址、古墓葬、古建筑等不可移动文物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）石窟寺、造像及岩、壁画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）近现代文物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）其它古代文物</w:t>
      </w:r>
    </w:p>
    <w:p>
      <w:pPr>
        <w:pStyle w:val="BodyText"/>
        <w:ind w:left="344"/>
        <w:spacing w:before="145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文化遗产</w:t>
      </w:r>
    </w:p>
    <w:p>
      <w:pPr>
        <w:pStyle w:val="BodyText"/>
        <w:ind w:left="356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）物质文化遗产和非物质文化遗产概念。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）文化遗产的原真性与完整性。</w:t>
      </w:r>
    </w:p>
    <w:p>
      <w:pPr>
        <w:pStyle w:val="BodyText"/>
        <w:ind w:left="356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）世界文化遗产的概念、分类、评定标准。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）中外代表性文化遗产名录。</w:t>
      </w:r>
    </w:p>
    <w:p>
      <w:pPr>
        <w:ind w:left="354"/>
        <w:spacing w:before="145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349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365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343" w:right="7004" w:firstLine="26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简答题；</w:t>
      </w:r>
    </w:p>
    <w:p>
      <w:pPr>
        <w:pStyle w:val="BodyText"/>
        <w:ind w:left="349"/>
        <w:spacing w:before="42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论述题。</w:t>
      </w:r>
    </w:p>
    <w:p>
      <w:pPr>
        <w:ind w:left="356"/>
        <w:spacing w:before="14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343" w:right="495" w:firstLine="26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《文物学概论》，刘毅主编，高等教育出版社，</w:t>
      </w:r>
      <w:r>
        <w:rPr>
          <w:rFonts w:ascii="Times New Roman" w:hAnsi="Times New Roman" w:eastAsia="Times New Roman" w:cs="Times New Roman"/>
          <w:spacing w:val="-4"/>
        </w:rPr>
        <w:t>2019 </w:t>
      </w:r>
      <w:r>
        <w:rPr>
          <w:spacing w:val="-4"/>
        </w:rPr>
        <w:t>年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4"/>
        </w:rPr>
        <w:t>月版；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《文物学》，李晓东著，学苑出版社，</w:t>
      </w:r>
      <w:r>
        <w:rPr>
          <w:rFonts w:ascii="Times New Roman" w:hAnsi="Times New Roman" w:eastAsia="Times New Roman" w:cs="Times New Roman"/>
          <w:spacing w:val="-1"/>
        </w:rPr>
        <w:t>2005 </w:t>
      </w:r>
      <w:r>
        <w:rPr>
          <w:spacing w:val="-2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月版。</w:t>
      </w:r>
    </w:p>
    <w:sectPr>
      <w:footerReference w:type="default" r:id="rId2"/>
      <w:pgSz w:w="12070" w:h="16950"/>
      <w:pgMar w:top="1440" w:right="1372" w:bottom="1744" w:left="1810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2024-10-11T22:44:04</vt:filetime>
  </property>
</Properties>
</file>